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1440"/>
          <w:tab w:val="center" w:pos="3637"/>
        </w:tabs>
        <w:spacing w:line="100" w:lineRule="atLeast"/>
        <w:jc w:val="left"/>
        <w:rPr>
          <w:rFonts w:cs="楷体" w:asciiTheme="minorEastAsia" w:hAnsiTheme="minorEastAsia"/>
          <w:sz w:val="48"/>
          <w:szCs w:val="48"/>
        </w:rPr>
      </w:pPr>
      <w:r>
        <w:rPr>
          <w:rFonts w:cs="楷体" w:asciiTheme="minorEastAsia" w:hAnsiTheme="minorEastAsia"/>
          <w:sz w:val="48"/>
          <w:szCs w:val="48"/>
        </w:rPr>
        <w:t xml:space="preserve"> </w:t>
      </w:r>
    </w:p>
    <w:p>
      <w:pPr>
        <w:tabs>
          <w:tab w:val="left" w:pos="1440"/>
          <w:tab w:val="center" w:pos="3637"/>
        </w:tabs>
        <w:spacing w:line="100" w:lineRule="atLeast"/>
        <w:jc w:val="left"/>
        <w:rPr>
          <w:rFonts w:cs="楷体" w:asciiTheme="minorEastAsia" w:hAnsiTheme="minorEastAsia"/>
          <w:sz w:val="48"/>
          <w:szCs w:val="48"/>
        </w:rPr>
      </w:pPr>
    </w:p>
    <w:p>
      <w:pPr>
        <w:tabs>
          <w:tab w:val="left" w:pos="1440"/>
          <w:tab w:val="center" w:pos="3637"/>
        </w:tabs>
        <w:spacing w:line="100" w:lineRule="atLeast"/>
        <w:jc w:val="left"/>
        <w:rPr>
          <w:rFonts w:ascii="Arial Unicode MS" w:hAnsi="Arial Unicode MS" w:eastAsia="Arial Unicode MS" w:cs="Arial Unicode MS"/>
          <w:sz w:val="36"/>
          <w:szCs w:val="36"/>
        </w:rPr>
      </w:pPr>
      <w:r>
        <w:rPr>
          <w:rFonts w:cs="楷体" w:asciiTheme="minorEastAsia" w:hAnsiTheme="minorEastAsia"/>
          <w:sz w:val="48"/>
          <w:szCs w:val="4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19050</wp:posOffset>
            </wp:positionV>
            <wp:extent cx="4351020" cy="758825"/>
            <wp:effectExtent l="0" t="0" r="0" b="3175"/>
            <wp:wrapNone/>
            <wp:docPr id="11" name="图片 11" descr="未标题-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标题-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楷体" w:asciiTheme="minorEastAsia" w:hAnsiTheme="minorEastAsia"/>
          <w:sz w:val="48"/>
          <w:szCs w:val="48"/>
        </w:rPr>
        <w:t xml:space="preserve">   </w:t>
      </w:r>
    </w:p>
    <w:p>
      <w:pPr>
        <w:jc w:val="center"/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ind w:left="-709" w:leftChars="-338" w:hanging="1"/>
        <w:jc w:val="center"/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  <w:r>
        <w:rPr>
          <w:rFonts w:cs="楷体" w:asciiTheme="minorEastAsia" w:hAnsiTheme="minorEastAsia"/>
          <w:sz w:val="44"/>
          <w:szCs w:val="44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137160</wp:posOffset>
            </wp:positionV>
            <wp:extent cx="2738755" cy="3486785"/>
            <wp:effectExtent l="0" t="0" r="4445" b="0"/>
            <wp:wrapNone/>
            <wp:docPr id="1" name="图片 1" descr="C:\Users\wangwei\Desktop\鼠标垫1-1.jpg鼠标垫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angwei\Desktop\鼠标垫1-1.jpg鼠标垫1-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ind w:left="-850" w:leftChars="-405"/>
        <w:jc w:val="center"/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rPr>
          <w:rFonts w:cs="楷体" w:asciiTheme="minorEastAsia" w:hAnsiTheme="minorEastAsia"/>
          <w:sz w:val="44"/>
          <w:szCs w:val="44"/>
        </w:rPr>
      </w:pPr>
    </w:p>
    <w:p>
      <w:pPr>
        <w:rPr>
          <w:rFonts w:ascii="黑体" w:hAnsi="黑体" w:eastAsia="黑体" w:cs="楷体"/>
          <w:sz w:val="44"/>
          <w:szCs w:val="44"/>
        </w:rPr>
      </w:pPr>
    </w:p>
    <w:p>
      <w:pPr>
        <w:jc w:val="center"/>
        <w:rPr>
          <w:rFonts w:ascii="黑体" w:hAnsi="黑体" w:eastAsia="黑体" w:cs="楷体"/>
          <w:sz w:val="36"/>
          <w:szCs w:val="36"/>
        </w:rPr>
      </w:pPr>
      <w:r>
        <w:rPr>
          <w:rFonts w:ascii="黑体" w:hAnsi="黑体" w:eastAsia="黑体" w:cs="楷体"/>
          <w:sz w:val="36"/>
          <w:szCs w:val="36"/>
        </w:rPr>
        <w:t xml:space="preserve">  </w:t>
      </w:r>
      <w:r>
        <w:rPr>
          <w:rFonts w:hint="eastAsia" w:ascii="黑体" w:hAnsi="黑体" w:eastAsia="黑体" w:cs="楷体"/>
          <w:sz w:val="36"/>
          <w:szCs w:val="36"/>
        </w:rPr>
        <w:t>2016年</w:t>
      </w:r>
      <w:r>
        <w:rPr>
          <w:rFonts w:ascii="黑体" w:hAnsi="黑体" w:eastAsia="黑体" w:cs="楷体"/>
          <w:sz w:val="36"/>
          <w:szCs w:val="36"/>
        </w:rPr>
        <w:t>9</w:t>
      </w:r>
      <w:r>
        <w:rPr>
          <w:rFonts w:hint="eastAsia" w:ascii="黑体" w:hAnsi="黑体" w:eastAsia="黑体" w:cs="楷体"/>
          <w:sz w:val="36"/>
          <w:szCs w:val="36"/>
        </w:rPr>
        <w:t>月9-10日</w:t>
      </w:r>
    </w:p>
    <w:p>
      <w:pPr>
        <w:ind w:left="-181" w:leftChars="-472" w:hanging="810" w:hangingChars="225"/>
        <w:jc w:val="center"/>
        <w:rPr>
          <w:rFonts w:ascii="黑体" w:hAnsi="黑体" w:eastAsia="黑体" w:cs="楷体"/>
          <w:sz w:val="36"/>
          <w:szCs w:val="36"/>
        </w:rPr>
      </w:pPr>
      <w:r>
        <w:rPr>
          <w:rFonts w:hint="eastAsia" w:ascii="黑体" w:hAnsi="黑体" w:eastAsia="黑体" w:cs="楷体"/>
          <w:sz w:val="36"/>
          <w:szCs w:val="36"/>
        </w:rPr>
        <w:t xml:space="preserve">    </w:t>
      </w:r>
      <w:r>
        <w:rPr>
          <w:rFonts w:ascii="黑体" w:hAnsi="黑体" w:eastAsia="黑体" w:cs="楷体"/>
          <w:sz w:val="36"/>
          <w:szCs w:val="36"/>
        </w:rPr>
        <w:t xml:space="preserve">  </w:t>
      </w:r>
      <w:r>
        <w:rPr>
          <w:rFonts w:hint="eastAsia" w:ascii="黑体" w:hAnsi="黑体" w:eastAsia="黑体" w:cs="楷体"/>
          <w:sz w:val="36"/>
          <w:szCs w:val="36"/>
        </w:rPr>
        <w:t xml:space="preserve"> 上海.嘉定</w:t>
      </w:r>
    </w:p>
    <w:p>
      <w:pPr>
        <w:jc w:val="center"/>
        <w:rPr>
          <w:rFonts w:cs="楷体" w:asciiTheme="minorEastAsia" w:hAnsiTheme="minorEastAsia"/>
          <w:sz w:val="44"/>
          <w:szCs w:val="44"/>
        </w:rPr>
      </w:pPr>
    </w:p>
    <w:p>
      <w:pPr>
        <w:pStyle w:val="18"/>
        <w:spacing w:line="390" w:lineRule="atLeast"/>
        <w:ind w:firstLine="0" w:firstLineChars="0"/>
        <w:rPr>
          <w:rFonts w:cs="楷体" w:asciiTheme="minorEastAsia" w:hAnsiTheme="minorEastAsia"/>
          <w:sz w:val="44"/>
          <w:szCs w:val="44"/>
        </w:rPr>
      </w:pPr>
    </w:p>
    <w:p>
      <w:pPr>
        <w:pStyle w:val="18"/>
        <w:numPr>
          <w:ilvl w:val="0"/>
          <w:numId w:val="1"/>
        </w:numPr>
        <w:spacing w:line="390" w:lineRule="atLeast"/>
        <w:ind w:firstLineChars="0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关于并购交易嘉年华</w:t>
      </w:r>
    </w:p>
    <w:p>
      <w:pPr>
        <w:pStyle w:val="18"/>
        <w:spacing w:line="390" w:lineRule="atLeast"/>
        <w:ind w:left="420" w:firstLine="0" w:firstLineChars="0"/>
        <w:rPr>
          <w:rFonts w:cs="楷体" w:asciiTheme="minorEastAsia" w:hAnsiTheme="minorEastAsia"/>
          <w:b/>
          <w:sz w:val="24"/>
        </w:rPr>
      </w:pPr>
    </w:p>
    <w:p>
      <w:pPr>
        <w:spacing w:line="390" w:lineRule="atLeas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并购交易嘉年华，是由中国并购公会主办，以资本和项目对接为核心的一场金融盛会。活动不仅精选了来自节能环保、PPP投资、TMT、医药健康、物联网、文化产业、地产、农业、金融等行业的100余个优质项目，还汇聚了来自全球的一线并购从业者——并购交易师。</w:t>
      </w:r>
    </w:p>
    <w:p>
      <w:pPr>
        <w:spacing w:line="390" w:lineRule="atLeast"/>
        <w:jc w:val="left"/>
        <w:rPr>
          <w:rFonts w:cs="楷体" w:asciiTheme="minorEastAsia" w:hAnsiTheme="minorEastAsia"/>
          <w:b/>
          <w:color w:val="000000"/>
          <w:sz w:val="24"/>
          <w:shd w:val="clear" w:color="auto" w:fill="FFFFFF"/>
        </w:rPr>
      </w:pPr>
      <w:r>
        <w:rPr>
          <w:rFonts w:hint="eastAsia" w:cs="楷体" w:asciiTheme="minorEastAsia" w:hAnsiTheme="minorEastAsia"/>
          <w:sz w:val="24"/>
        </w:rPr>
        <w:t>嘉年华将通过前沿论坛、优质项目路演、资本对接等环节为与会者提供绝佳的投融资机会，促进并购市场的资源优化，力争打造成亚太地区最具影响力的资本对接平台。</w:t>
      </w:r>
      <w:r>
        <w:rPr>
          <w:rFonts w:cs="楷体" w:asciiTheme="minorEastAsia" w:hAnsiTheme="minorEastAsia"/>
          <w:sz w:val="24"/>
        </w:rPr>
        <w:drawing>
          <wp:inline distT="0" distB="0" distL="0" distR="0">
            <wp:extent cx="5363210" cy="66675"/>
            <wp:effectExtent l="0" t="0" r="889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783609" cy="10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0" w:lineRule="atLeast"/>
        <w:rPr>
          <w:rFonts w:cs="楷体" w:asciiTheme="minorEastAsia" w:hAnsiTheme="minorEastAsia"/>
          <w:b/>
          <w:color w:val="000000"/>
          <w:sz w:val="24"/>
          <w:shd w:val="clear" w:color="auto" w:fill="FFFFFF"/>
        </w:rPr>
      </w:pPr>
    </w:p>
    <w:p>
      <w:pPr>
        <w:pStyle w:val="18"/>
        <w:numPr>
          <w:ilvl w:val="0"/>
          <w:numId w:val="2"/>
        </w:numPr>
        <w:spacing w:line="390" w:lineRule="atLeast"/>
        <w:ind w:firstLineChars="0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关于中国并购公会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（全联并购公会）是经国务院批准、由民政部批复成立的非盈利性民间行业协会。并购公会设立于2004年9月，总部位于北京，在上海、福建、江苏、山东、广东、香港、贵州、浙江和日本、美国等地设有分支机构。并购公会为国内外企业界和政府部门提供战略顾问、并购操作、管理咨询、资产评估、融资安排、法律及财务等投资银行服务，广泛联络各界精英结盟，致力于推动中国并购市场的规范与成熟，协助中国企业的全球化进程。目前，全</w:t>
      </w:r>
      <w:r>
        <w:rPr>
          <w:rFonts w:cs="楷体" w:asciiTheme="minorEastAsia" w:hAnsiTheme="minorEastAsia"/>
          <w:sz w:val="24"/>
        </w:rPr>
        <w:t>球范围内，</w:t>
      </w:r>
      <w:r>
        <w:rPr>
          <w:rFonts w:hint="eastAsia" w:cs="楷体" w:asciiTheme="minorEastAsia" w:hAnsiTheme="minorEastAsia"/>
          <w:sz w:val="24"/>
        </w:rPr>
        <w:t>共有2000余</w:t>
      </w:r>
      <w:r>
        <w:rPr>
          <w:rFonts w:cs="楷体" w:asciiTheme="minorEastAsia" w:hAnsiTheme="minorEastAsia"/>
          <w:sz w:val="24"/>
        </w:rPr>
        <w:t>人获得了</w:t>
      </w:r>
      <w:r>
        <w:rPr>
          <w:rFonts w:hint="eastAsia" w:cs="楷体" w:asciiTheme="minorEastAsia" w:hAnsiTheme="minorEastAsia"/>
          <w:sz w:val="24"/>
        </w:rPr>
        <w:t>由</w:t>
      </w:r>
      <w:r>
        <w:rPr>
          <w:rFonts w:cs="楷体" w:asciiTheme="minorEastAsia" w:hAnsiTheme="minorEastAsia"/>
          <w:sz w:val="24"/>
        </w:rPr>
        <w:t>中国并购</w:t>
      </w:r>
      <w:r>
        <w:rPr>
          <w:rFonts w:hint="eastAsia" w:cs="楷体" w:asciiTheme="minorEastAsia" w:hAnsiTheme="minorEastAsia"/>
          <w:sz w:val="24"/>
        </w:rPr>
        <w:t>公会颁</w:t>
      </w:r>
      <w:r>
        <w:rPr>
          <w:rFonts w:cs="楷体" w:asciiTheme="minorEastAsia" w:hAnsiTheme="minorEastAsia"/>
          <w:sz w:val="24"/>
        </w:rPr>
        <w:t>发的并购交易师资格</w:t>
      </w:r>
      <w:r>
        <w:rPr>
          <w:rFonts w:hint="eastAsia" w:cs="楷体" w:asciiTheme="minorEastAsia" w:hAnsiTheme="minorEastAsia"/>
          <w:sz w:val="24"/>
        </w:rPr>
        <w:t>认证。</w:t>
      </w:r>
    </w:p>
    <w:p>
      <w:pPr>
        <w:tabs>
          <w:tab w:val="left" w:pos="284"/>
        </w:tabs>
        <w:spacing w:line="390" w:lineRule="atLeast"/>
        <w:jc w:val="left"/>
        <w:rPr>
          <w:rFonts w:cs="楷体" w:asciiTheme="minorEastAsia" w:hAnsiTheme="minorEastAsia"/>
          <w:b/>
          <w:sz w:val="24"/>
        </w:rPr>
      </w:pPr>
    </w:p>
    <w:p>
      <w:pPr>
        <w:tabs>
          <w:tab w:val="left" w:pos="284"/>
        </w:tabs>
        <w:spacing w:line="390" w:lineRule="atLeast"/>
        <w:jc w:val="center"/>
        <w:rPr>
          <w:rFonts w:cs="楷体" w:asciiTheme="minorEastAsia" w:hAnsiTheme="minorEastAsia"/>
          <w:b/>
          <w:sz w:val="24"/>
        </w:rPr>
      </w:pPr>
      <w:r>
        <w:rPr>
          <w:rFonts w:cs="楷体" w:asciiTheme="minorEastAsia" w:hAnsiTheme="minorEastAsia"/>
          <w:b/>
          <w:sz w:val="24"/>
        </w:rPr>
        <w:drawing>
          <wp:inline distT="0" distB="0" distL="0" distR="0">
            <wp:extent cx="5274310" cy="27089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4"/>
        </w:tabs>
        <w:spacing w:line="390" w:lineRule="atLeast"/>
        <w:jc w:val="center"/>
        <w:rPr>
          <w:rFonts w:cs="楷体" w:asciiTheme="minorEastAsia" w:hAnsiTheme="minorEastAsia"/>
          <w:b/>
          <w:sz w:val="24"/>
        </w:rPr>
      </w:pPr>
    </w:p>
    <w:p>
      <w:pPr>
        <w:tabs>
          <w:tab w:val="left" w:pos="284"/>
        </w:tabs>
        <w:spacing w:line="390" w:lineRule="atLeast"/>
        <w:jc w:val="center"/>
        <w:rPr>
          <w:rFonts w:cs="楷体" w:asciiTheme="minorEastAsia" w:hAnsiTheme="minorEastAsia"/>
          <w:szCs w:val="21"/>
        </w:rPr>
      </w:pPr>
      <w:r>
        <w:rPr>
          <w:rFonts w:hint="eastAsia" w:cs="楷体" w:asciiTheme="minorEastAsia" w:hAnsiTheme="minorEastAsia"/>
          <w:szCs w:val="21"/>
        </w:rPr>
        <w:t>《并购公会十年成长历史人物》大型油画于第九届中国并购年会上揭晓</w:t>
      </w:r>
    </w:p>
    <w:p>
      <w:pPr>
        <w:tabs>
          <w:tab w:val="left" w:pos="284"/>
        </w:tabs>
        <w:spacing w:line="390" w:lineRule="atLeast"/>
        <w:jc w:val="center"/>
        <w:rPr>
          <w:rFonts w:cs="楷体" w:asciiTheme="minorEastAsia" w:hAnsiTheme="minorEastAsia"/>
          <w:b/>
          <w:sz w:val="44"/>
          <w:szCs w:val="44"/>
        </w:rPr>
      </w:pPr>
    </w:p>
    <w:p>
      <w:pPr>
        <w:tabs>
          <w:tab w:val="left" w:pos="284"/>
        </w:tabs>
        <w:spacing w:line="390" w:lineRule="atLeast"/>
        <w:jc w:val="center"/>
        <w:rPr>
          <w:rFonts w:cs="楷体" w:asciiTheme="minorEastAsia" w:hAnsiTheme="minorEastAsia"/>
          <w:b/>
          <w:sz w:val="44"/>
          <w:szCs w:val="44"/>
        </w:rPr>
      </w:pPr>
    </w:p>
    <w:p>
      <w:pPr>
        <w:tabs>
          <w:tab w:val="left" w:pos="284"/>
        </w:tabs>
        <w:spacing w:line="390" w:lineRule="atLeast"/>
        <w:jc w:val="left"/>
        <w:rPr>
          <w:rFonts w:cs="楷体" w:asciiTheme="minorEastAsia" w:hAnsiTheme="minorEastAsia"/>
          <w:b/>
          <w:sz w:val="36"/>
          <w:szCs w:val="36"/>
        </w:rPr>
      </w:pPr>
      <w:r>
        <w:rPr>
          <w:rFonts w:cs="楷体" w:asciiTheme="minorEastAsia" w:hAnsiTheme="minorEastAsia"/>
          <w:sz w:val="48"/>
          <w:szCs w:val="48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-47625</wp:posOffset>
            </wp:positionV>
            <wp:extent cx="3074670" cy="535940"/>
            <wp:effectExtent l="0" t="0" r="0" b="0"/>
            <wp:wrapNone/>
            <wp:docPr id="25" name="图片 25" descr="未标题-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未标题-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53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84"/>
        </w:tabs>
        <w:spacing w:line="390" w:lineRule="atLeast"/>
        <w:jc w:val="left"/>
        <w:rPr>
          <w:rFonts w:cs="楷体" w:asciiTheme="minorEastAsia" w:hAnsiTheme="minorEastAsia"/>
          <w:b/>
          <w:sz w:val="10"/>
          <w:szCs w:val="10"/>
        </w:rPr>
      </w:pPr>
    </w:p>
    <w:p>
      <w:pPr>
        <w:pStyle w:val="18"/>
        <w:numPr>
          <w:ilvl w:val="0"/>
          <w:numId w:val="2"/>
        </w:numPr>
        <w:tabs>
          <w:tab w:val="left" w:pos="284"/>
        </w:tabs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嘉年华背景</w:t>
      </w:r>
    </w:p>
    <w:p>
      <w:pPr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    </w:t>
      </w:r>
    </w:p>
    <w:p>
      <w:pPr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并购重组，是企业实现结构调整和行业转型的重要手段。迈进2016年后，“去产能”成为年度经济工作的五大任务之首，新一轮兼并重组浪潮有望借力在本年度全面展开。对内来说，并购重组能够化解产能过剩，解决企业效益低下的难题；对外来说，并购重组配合了“一带一路”的宏伟战略，满足企业参与国际竞争的需要。</w:t>
      </w:r>
    </w:p>
    <w:p>
      <w:pPr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值此背景，由中国并购公会和并购博物馆主办、上海市嘉定区人民政府、并购交易师认证与考试委员会协办的“2016并购交易嘉年华暨首届并购交易师年会”将于2016年9月9-10日在上海嘉定区召开。嘉年华以资本和项目对接为核心，通过前沿论坛、优质项目路演等环节为与会者搭建起一个共融共通、卓有成效的交流、交易平台，提升并购交易成功率。</w:t>
      </w:r>
    </w:p>
    <w:p>
      <w:pPr>
        <w:jc w:val="left"/>
        <w:rPr>
          <w:rFonts w:cs="楷体" w:asciiTheme="minorEastAsia" w:hAnsiTheme="minorEastAsia"/>
          <w:sz w:val="24"/>
        </w:rPr>
      </w:pPr>
    </w:p>
    <w:p>
      <w:pPr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drawing>
          <wp:inline distT="0" distB="0" distL="0" distR="0">
            <wp:extent cx="5274310" cy="654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4"/>
        </w:tabs>
        <w:spacing w:line="390" w:lineRule="atLeast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27"/>
        <w:numPr>
          <w:ilvl w:val="0"/>
          <w:numId w:val="1"/>
        </w:numPr>
        <w:tabs>
          <w:tab w:val="left" w:pos="284"/>
        </w:tabs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嘉年华概况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时间：2016年</w:t>
      </w:r>
      <w:r>
        <w:rPr>
          <w:rFonts w:cs="楷体" w:asciiTheme="minorEastAsia" w:hAnsiTheme="minorEastAsia"/>
          <w:sz w:val="24"/>
        </w:rPr>
        <w:t>9</w:t>
      </w:r>
      <w:r>
        <w:rPr>
          <w:rFonts w:hint="eastAsia" w:cs="楷体" w:asciiTheme="minorEastAsia" w:hAnsiTheme="minorEastAsia"/>
          <w:sz w:val="24"/>
        </w:rPr>
        <w:t>月-</w:t>
      </w:r>
      <w:r>
        <w:rPr>
          <w:rFonts w:cs="楷体" w:asciiTheme="minorEastAsia" w:hAnsiTheme="minorEastAsia"/>
          <w:sz w:val="24"/>
        </w:rPr>
        <w:t>10</w:t>
      </w:r>
      <w:r>
        <w:rPr>
          <w:rFonts w:hint="eastAsia" w:cs="楷体" w:asciiTheme="minorEastAsia" w:hAnsiTheme="minorEastAsia"/>
          <w:sz w:val="24"/>
        </w:rPr>
        <w:t>日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地点：上海嘉定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规模：</w:t>
      </w:r>
      <w:r>
        <w:rPr>
          <w:rFonts w:cs="楷体" w:asciiTheme="minorEastAsia" w:hAnsiTheme="minorEastAsia"/>
          <w:sz w:val="24"/>
        </w:rPr>
        <w:t>8</w:t>
      </w:r>
      <w:r>
        <w:rPr>
          <w:rFonts w:hint="eastAsia" w:cs="楷体" w:asciiTheme="minorEastAsia" w:hAnsiTheme="minorEastAsia"/>
          <w:sz w:val="24"/>
        </w:rPr>
        <w:t>00--</w:t>
      </w:r>
      <w:r>
        <w:rPr>
          <w:rFonts w:cs="楷体" w:asciiTheme="minorEastAsia" w:hAnsiTheme="minorEastAsia"/>
          <w:sz w:val="24"/>
        </w:rPr>
        <w:t>1000</w:t>
      </w:r>
      <w:r>
        <w:rPr>
          <w:rFonts w:hint="eastAsia" w:cs="楷体" w:asciiTheme="minorEastAsia" w:hAnsiTheme="minorEastAsia"/>
          <w:sz w:val="24"/>
        </w:rPr>
        <w:t>人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定位：高端财经—专业并购交易洽谈会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主题：1.深化改革形势下的并购交易大潮（待定</w:t>
      </w:r>
      <w:r>
        <w:rPr>
          <w:rFonts w:cs="楷体" w:asciiTheme="minorEastAsia" w:hAnsiTheme="minorEastAsia"/>
          <w:sz w:val="24"/>
        </w:rPr>
        <w:t>）</w:t>
      </w:r>
      <w:r>
        <w:rPr>
          <w:rFonts w:cs="楷体" w:asciiTheme="minorEastAsia" w:hAnsiTheme="minorEastAsia"/>
          <w:sz w:val="24"/>
        </w:rPr>
        <w:br w:type="textWrapping"/>
      </w:r>
      <w:r>
        <w:rPr>
          <w:rFonts w:hint="eastAsia" w:cs="楷体" w:asciiTheme="minorEastAsia" w:hAnsiTheme="minorEastAsia"/>
          <w:sz w:val="24"/>
        </w:rPr>
        <w:t xml:space="preserve">      </w:t>
      </w:r>
      <w:r>
        <w:rPr>
          <w:rFonts w:cs="楷体" w:asciiTheme="minorEastAsia" w:hAnsiTheme="minorEastAsia"/>
          <w:sz w:val="24"/>
        </w:rPr>
        <w:t>2.</w:t>
      </w:r>
      <w:r>
        <w:rPr>
          <w:rFonts w:hint="eastAsia" w:cs="楷体" w:asciiTheme="minorEastAsia" w:hAnsiTheme="minorEastAsia"/>
          <w:sz w:val="24"/>
        </w:rPr>
        <w:t>并</w:t>
      </w:r>
      <w:r>
        <w:rPr>
          <w:rFonts w:cs="楷体" w:asciiTheme="minorEastAsia" w:hAnsiTheme="minorEastAsia"/>
          <w:sz w:val="24"/>
        </w:rPr>
        <w:t>购助力供给侧改革（</w:t>
      </w:r>
      <w:r>
        <w:rPr>
          <w:rFonts w:hint="eastAsia" w:cs="楷体" w:asciiTheme="minorEastAsia" w:hAnsiTheme="minorEastAsia"/>
          <w:sz w:val="24"/>
        </w:rPr>
        <w:t>待定</w:t>
      </w:r>
      <w:r>
        <w:rPr>
          <w:rFonts w:cs="楷体" w:asciiTheme="minorEastAsia" w:hAnsiTheme="minorEastAsia"/>
          <w:sz w:val="24"/>
        </w:rPr>
        <w:t>）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drawing>
          <wp:inline distT="0" distB="0" distL="0" distR="0">
            <wp:extent cx="5274310" cy="654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numPr>
          <w:ilvl w:val="0"/>
          <w:numId w:val="2"/>
        </w:numPr>
        <w:spacing w:line="390" w:lineRule="atLeast"/>
        <w:ind w:left="284" w:hanging="284"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组织机构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 xml:space="preserve">主办单位：中国并购公会  </w:t>
      </w:r>
    </w:p>
    <w:p>
      <w:pPr>
        <w:tabs>
          <w:tab w:val="left" w:pos="3253"/>
        </w:tabs>
        <w:spacing w:line="390" w:lineRule="atLeast"/>
        <w:ind w:firstLine="1200" w:firstLineChars="50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并购博物馆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 xml:space="preserve">协办单位：上海市嘉定区人民政府     </w:t>
      </w:r>
    </w:p>
    <w:p>
      <w:pPr>
        <w:tabs>
          <w:tab w:val="left" w:pos="3253"/>
        </w:tabs>
        <w:spacing w:line="390" w:lineRule="atLeast"/>
        <w:ind w:firstLine="1200" w:firstLineChars="50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中国并购公会并购交易师认证与考试委员会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支持单位：</w:t>
      </w:r>
      <w:r>
        <w:rPr>
          <w:rFonts w:cs="楷体" w:asciiTheme="minorEastAsia" w:hAnsiTheme="minorEastAsia"/>
          <w:sz w:val="24"/>
        </w:rPr>
        <w:t>尚融资本、</w:t>
      </w:r>
      <w:r>
        <w:rPr>
          <w:rFonts w:hint="eastAsia" w:cs="楷体" w:asciiTheme="minorEastAsia" w:hAnsiTheme="minorEastAsia"/>
          <w:sz w:val="24"/>
        </w:rPr>
        <w:t>中</w:t>
      </w:r>
      <w:r>
        <w:rPr>
          <w:rFonts w:cs="楷体" w:asciiTheme="minorEastAsia" w:hAnsiTheme="minorEastAsia"/>
          <w:sz w:val="24"/>
        </w:rPr>
        <w:t>企</w:t>
      </w:r>
      <w:r>
        <w:rPr>
          <w:rFonts w:hint="eastAsia" w:cs="楷体" w:asciiTheme="minorEastAsia" w:hAnsiTheme="minorEastAsia"/>
          <w:sz w:val="24"/>
        </w:rPr>
        <w:t>华</w:t>
      </w:r>
      <w:r>
        <w:rPr>
          <w:rFonts w:cs="楷体" w:asciiTheme="minorEastAsia" w:hAnsiTheme="minorEastAsia"/>
          <w:sz w:val="24"/>
        </w:rPr>
        <w:t>、招商证券</w:t>
      </w:r>
      <w:r>
        <w:rPr>
          <w:rFonts w:hint="eastAsia" w:cs="楷体" w:asciiTheme="minorEastAsia" w:hAnsiTheme="minorEastAsia"/>
          <w:sz w:val="24"/>
        </w:rPr>
        <w:t>、</w:t>
      </w:r>
      <w:r>
        <w:rPr>
          <w:rFonts w:cs="楷体" w:asciiTheme="minorEastAsia" w:hAnsiTheme="minorEastAsia"/>
          <w:sz w:val="24"/>
        </w:rPr>
        <w:t>德勤会计师事务所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媒体支持：新浪</w:t>
      </w:r>
      <w:r>
        <w:rPr>
          <w:rFonts w:cs="楷体" w:asciiTheme="minorEastAsia" w:hAnsiTheme="minorEastAsia"/>
          <w:sz w:val="24"/>
        </w:rPr>
        <w:t>财经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官方网站：www.certifieddealmaker.org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官方微信公众号：中国并购公会</w:t>
      </w:r>
      <w:r>
        <w:rPr>
          <w:rFonts w:cs="楷体" w:asciiTheme="minorEastAsia" w:hAnsiTheme="minorEastAsia"/>
          <w:sz w:val="24"/>
        </w:rPr>
        <w:t xml:space="preserve"> </w:t>
      </w:r>
      <w:r>
        <w:rPr>
          <w:rFonts w:hint="eastAsia" w:cs="楷体" w:asciiTheme="minorEastAsia" w:hAnsiTheme="minorEastAsia"/>
          <w:sz w:val="24"/>
        </w:rPr>
        <w:t>并</w:t>
      </w:r>
      <w:r>
        <w:rPr>
          <w:rFonts w:cs="楷体" w:asciiTheme="minorEastAsia" w:hAnsiTheme="minorEastAsia"/>
          <w:sz w:val="24"/>
        </w:rPr>
        <w:t>购交易师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spacing w:line="390" w:lineRule="atLeast"/>
        <w:ind w:left="420" w:firstLine="0" w:firstLineChars="0"/>
        <w:jc w:val="left"/>
        <w:rPr>
          <w:rFonts w:cs="楷体" w:asciiTheme="minorEastAsia" w:hAnsiTheme="minorEastAsia"/>
          <w:b/>
          <w:sz w:val="28"/>
          <w:szCs w:val="28"/>
        </w:rPr>
      </w:pPr>
    </w:p>
    <w:p>
      <w:pPr>
        <w:pStyle w:val="18"/>
        <w:numPr>
          <w:ilvl w:val="0"/>
          <w:numId w:val="1"/>
        </w:numPr>
        <w:spacing w:line="390" w:lineRule="atLeast"/>
        <w:ind w:firstLineChars="0"/>
        <w:jc w:val="left"/>
        <w:rPr>
          <w:rFonts w:cs="楷体" w:asciiTheme="minorEastAsia" w:hAnsiTheme="minorEastAsia"/>
          <w:b/>
          <w:sz w:val="28"/>
          <w:szCs w:val="28"/>
        </w:rPr>
      </w:pPr>
      <w:r>
        <w:rPr>
          <w:rFonts w:hint="eastAsia" w:cs="楷体" w:asciiTheme="minorEastAsia" w:hAnsiTheme="minorEastAsia"/>
          <w:b/>
          <w:sz w:val="28"/>
          <w:szCs w:val="28"/>
        </w:rPr>
        <w:t>嘉年华议程</w:t>
      </w:r>
    </w:p>
    <w:tbl>
      <w:tblPr>
        <w:tblStyle w:val="23"/>
        <w:tblW w:w="8500" w:type="dxa"/>
        <w:jc w:val="center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547"/>
        <w:gridCol w:w="1276"/>
        <w:gridCol w:w="2409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00" w:type="dxa"/>
            <w:gridSpan w:val="4"/>
            <w:tcBorders>
              <w:top w:val="nil"/>
              <w:left w:val="nil"/>
              <w:right w:val="nil"/>
              <w:insideV w:val="nil"/>
            </w:tcBorders>
            <w:shd w:val="clear" w:color="auto" w:fill="2F5496" w:themeFill="accent5" w:themeFillShade="BF"/>
            <w:vAlign w:val="center"/>
          </w:tcPr>
          <w:p>
            <w:pPr>
              <w:pStyle w:val="27"/>
              <w:numPr>
                <w:ilvl w:val="0"/>
                <w:numId w:val="1"/>
              </w:numPr>
              <w:ind w:firstLineChars="0"/>
              <w:jc w:val="center"/>
              <w:rPr>
                <w:b w:val="0"/>
                <w:bCs w:val="0"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2</w:t>
            </w:r>
            <w:r>
              <w:rPr>
                <w:b/>
                <w:bCs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016</w:t>
            </w:r>
            <w:r>
              <w:rPr>
                <w:rFonts w:hint="eastAsia"/>
                <w:b/>
                <w:bCs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并购交易嘉年华暨并</w:t>
            </w:r>
            <w:r>
              <w:rPr>
                <w:b/>
                <w:bCs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购</w:t>
            </w:r>
            <w:r>
              <w:rPr>
                <w:rFonts w:hint="eastAsia"/>
                <w:b/>
                <w:bCs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交易师年会</w:t>
            </w:r>
          </w:p>
          <w:p>
            <w:pPr>
              <w:pStyle w:val="27"/>
              <w:numPr>
                <w:ilvl w:val="0"/>
                <w:numId w:val="1"/>
              </w:numPr>
              <w:ind w:firstLineChars="0"/>
              <w:jc w:val="center"/>
              <w:rPr>
                <w:b w:val="0"/>
                <w:bCs w:val="0"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主题：</w:t>
            </w:r>
            <w:r>
              <w:rPr>
                <w:rFonts w:hint="eastAsia" w:cs="楷体" w:asciiTheme="minorEastAsia" w:hAnsiTheme="minorEastAsia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深化改革形势下的并购交易大潮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00" w:type="dxa"/>
            <w:gridSpan w:val="4"/>
            <w:tcBorders>
              <w:left w:val="nil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  <w:t>9月9日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8：00-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9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：00</w:t>
            </w:r>
          </w:p>
        </w:tc>
        <w:tc>
          <w:tcPr>
            <w:tcW w:w="6232" w:type="dxa"/>
            <w:gridSpan w:val="3"/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签到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restart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9：00-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9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15</w:t>
            </w:r>
          </w:p>
        </w:tc>
        <w:tc>
          <w:tcPr>
            <w:tcW w:w="6232" w:type="dxa"/>
            <w:gridSpan w:val="3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并购交易嘉年华开幕式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continue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32" w:type="dxa"/>
            <w:gridSpan w:val="3"/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嘉</w:t>
            </w:r>
            <w:r>
              <w:rPr>
                <w:sz w:val="22"/>
                <w:szCs w:val="21"/>
              </w:rPr>
              <w:t>宾</w:t>
            </w:r>
            <w:r>
              <w:rPr>
                <w:rFonts w:hint="eastAsia"/>
                <w:sz w:val="22"/>
                <w:szCs w:val="21"/>
              </w:rPr>
              <w:t>致辞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9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15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-9：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30</w:t>
            </w:r>
          </w:p>
        </w:tc>
        <w:tc>
          <w:tcPr>
            <w:tcW w:w="6232" w:type="dxa"/>
            <w:gridSpan w:val="3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嘉</w:t>
            </w:r>
            <w:r>
              <w:rPr>
                <w:sz w:val="22"/>
                <w:szCs w:val="21"/>
              </w:rPr>
              <w:t>宾</w:t>
            </w:r>
            <w:r>
              <w:rPr>
                <w:rFonts w:hint="eastAsia"/>
                <w:sz w:val="22"/>
                <w:szCs w:val="21"/>
              </w:rPr>
              <w:t>致辞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9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3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0-9：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50</w:t>
            </w:r>
          </w:p>
        </w:tc>
        <w:tc>
          <w:tcPr>
            <w:tcW w:w="6232" w:type="dxa"/>
            <w:gridSpan w:val="3"/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嘉</w:t>
            </w:r>
            <w:r>
              <w:rPr>
                <w:sz w:val="22"/>
                <w:szCs w:val="21"/>
              </w:rPr>
              <w:t>宾</w:t>
            </w:r>
            <w:r>
              <w:rPr>
                <w:rFonts w:hint="eastAsia"/>
                <w:sz w:val="22"/>
                <w:szCs w:val="21"/>
              </w:rPr>
              <w:t>致辞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9：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50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10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：00</w:t>
            </w:r>
          </w:p>
        </w:tc>
        <w:tc>
          <w:tcPr>
            <w:tcW w:w="6232" w:type="dxa"/>
            <w:gridSpan w:val="3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资本对接超市启动仪式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10：20-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10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：30</w:t>
            </w:r>
          </w:p>
        </w:tc>
        <w:tc>
          <w:tcPr>
            <w:tcW w:w="6232" w:type="dxa"/>
            <w:gridSpan w:val="3"/>
            <w:tcBorders>
              <w:bottom w:val="single" w:color="FFFFFF" w:themeColor="background1" w:sz="4" w:space="0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嘉宾致辞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10：20-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10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：40</w:t>
            </w:r>
          </w:p>
        </w:tc>
        <w:tc>
          <w:tcPr>
            <w:tcW w:w="6232" w:type="dxa"/>
            <w:gridSpan w:val="3"/>
            <w:tcBorders>
              <w:bottom w:val="single" w:color="FFFFFF" w:themeColor="background1" w:sz="4" w:space="0"/>
            </w:tcBorders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嘉宾致辞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10：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40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11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0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0</w:t>
            </w:r>
          </w:p>
        </w:tc>
        <w:tc>
          <w:tcPr>
            <w:tcW w:w="6232" w:type="dxa"/>
            <w:gridSpan w:val="3"/>
            <w:tcBorders>
              <w:bottom w:val="single" w:color="FFFFFF" w:themeColor="background1" w:sz="4" w:space="0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主题演讲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11：00-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 xml:space="preserve"> 11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20</w:t>
            </w:r>
          </w:p>
        </w:tc>
        <w:tc>
          <w:tcPr>
            <w:tcW w:w="6232" w:type="dxa"/>
            <w:gridSpan w:val="3"/>
            <w:tcBorders>
              <w:bottom w:val="single" w:color="FFFFFF" w:themeColor="background1" w:sz="4" w:space="0"/>
            </w:tcBorders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主题演讲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11：20-1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2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：0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0</w:t>
            </w:r>
          </w:p>
        </w:tc>
        <w:tc>
          <w:tcPr>
            <w:tcW w:w="6232" w:type="dxa"/>
            <w:gridSpan w:val="3"/>
            <w:tcBorders>
              <w:bottom w:val="single" w:color="FFFFFF" w:themeColor="background1" w:sz="4" w:space="0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主题演讲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12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0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0-13：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30</w:t>
            </w:r>
          </w:p>
        </w:tc>
        <w:tc>
          <w:tcPr>
            <w:tcW w:w="6232" w:type="dxa"/>
            <w:gridSpan w:val="3"/>
            <w:tcBorders>
              <w:bottom w:val="single" w:color="FFFFFF" w:themeColor="background1" w:sz="4" w:space="0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午餐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restart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3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30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17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00</w:t>
            </w:r>
          </w:p>
        </w:tc>
        <w:tc>
          <w:tcPr>
            <w:tcW w:w="2547" w:type="dxa"/>
            <w:tcBorders>
              <w:bottom w:val="single" w:color="FFFFFF" w:themeColor="background1" w:sz="4" w:space="0"/>
            </w:tcBorders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会场1</w:t>
            </w:r>
          </w:p>
        </w:tc>
        <w:tc>
          <w:tcPr>
            <w:tcW w:w="1276" w:type="dxa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会场</w:t>
            </w:r>
            <w:r>
              <w:rPr>
                <w:rFonts w:hint="eastAsia"/>
                <w:sz w:val="22"/>
                <w:szCs w:val="21"/>
              </w:rPr>
              <w:t xml:space="preserve">2 </w:t>
            </w:r>
          </w:p>
        </w:tc>
        <w:tc>
          <w:tcPr>
            <w:tcW w:w="2409" w:type="dxa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会场3 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continue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2547" w:type="dxa"/>
            <w:tcBorders>
              <w:bottom w:val="single" w:color="FFFFFF" w:themeColor="background1" w:sz="4" w:space="0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供给侧改革与并购整合</w:t>
            </w:r>
          </w:p>
        </w:tc>
        <w:tc>
          <w:tcPr>
            <w:tcW w:w="1276" w:type="dxa"/>
            <w:vMerge w:val="restart"/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项目路演</w:t>
            </w:r>
          </w:p>
        </w:tc>
        <w:tc>
          <w:tcPr>
            <w:tcW w:w="2409" w:type="dxa"/>
            <w:vMerge w:val="restart"/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资本对接超市</w:t>
            </w:r>
          </w:p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（</w:t>
            </w:r>
            <w:r>
              <w:rPr>
                <w:sz w:val="22"/>
                <w:szCs w:val="21"/>
              </w:rPr>
              <w:t>100</w:t>
            </w:r>
            <w:r>
              <w:rPr>
                <w:rFonts w:hint="eastAsia"/>
                <w:sz w:val="22"/>
                <w:szCs w:val="21"/>
              </w:rPr>
              <w:t>家标的企业与投融资机构）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continue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2547" w:type="dxa"/>
            <w:tcBorders>
              <w:bottom w:val="single" w:color="FFFFFF" w:themeColor="background1" w:sz="4" w:space="0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上海嘉定区投融资论坛</w:t>
            </w:r>
          </w:p>
        </w:tc>
        <w:tc>
          <w:tcPr>
            <w:tcW w:w="1276" w:type="dxa"/>
            <w:vMerge w:val="continue"/>
            <w:tcBorders>
              <w:bottom w:val="single" w:color="FFFFFF" w:themeColor="background1" w:sz="4" w:space="0"/>
            </w:tcBorders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2409" w:type="dxa"/>
            <w:vMerge w:val="continue"/>
            <w:tcBorders>
              <w:bottom w:val="single" w:color="FFFFFF" w:themeColor="background1" w:sz="4" w:space="0"/>
            </w:tcBorders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00" w:type="dxa"/>
            <w:gridSpan w:val="4"/>
            <w:tcBorders>
              <w:left w:val="nil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  <w:t>9月10日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restart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9：00-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12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30</w:t>
            </w:r>
          </w:p>
        </w:tc>
        <w:tc>
          <w:tcPr>
            <w:tcW w:w="2547" w:type="dxa"/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 xml:space="preserve">会场1 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会场</w:t>
            </w:r>
            <w:r>
              <w:rPr>
                <w:rFonts w:hint="eastAsia"/>
                <w:sz w:val="22"/>
                <w:szCs w:val="21"/>
              </w:rPr>
              <w:t>2</w:t>
            </w:r>
          </w:p>
        </w:tc>
        <w:tc>
          <w:tcPr>
            <w:tcW w:w="2409" w:type="dxa"/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会场3 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continue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2547" w:type="dxa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PPP投资论坛</w:t>
            </w:r>
          </w:p>
        </w:tc>
        <w:tc>
          <w:tcPr>
            <w:tcW w:w="1276" w:type="dxa"/>
            <w:vMerge w:val="restart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项目路演</w:t>
            </w:r>
          </w:p>
        </w:tc>
        <w:tc>
          <w:tcPr>
            <w:tcW w:w="2409" w:type="dxa"/>
            <w:vMerge w:val="restart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资本对接超市</w:t>
            </w:r>
          </w:p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（</w:t>
            </w:r>
            <w:r>
              <w:rPr>
                <w:sz w:val="22"/>
                <w:szCs w:val="21"/>
              </w:rPr>
              <w:t>100</w:t>
            </w:r>
            <w:r>
              <w:rPr>
                <w:rFonts w:hint="eastAsia"/>
                <w:sz w:val="22"/>
                <w:szCs w:val="21"/>
              </w:rPr>
              <w:t>家标的企业与投融资机构）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continue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 w:val="0"/>
                <w:bCs w:val="0"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2547" w:type="dxa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医药行业并购整合</w:t>
            </w:r>
          </w:p>
        </w:tc>
        <w:tc>
          <w:tcPr>
            <w:tcW w:w="1276" w:type="dxa"/>
            <w:vMerge w:val="continue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2409" w:type="dxa"/>
            <w:vMerge w:val="continue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restart"/>
            <w:tcBorders>
              <w:left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13：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3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0-</w:t>
            </w:r>
            <w:r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16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  <w:t>：30</w:t>
            </w:r>
          </w:p>
        </w:tc>
        <w:tc>
          <w:tcPr>
            <w:tcW w:w="6232" w:type="dxa"/>
            <w:gridSpan w:val="3"/>
            <w:shd w:val="clear" w:color="auto" w:fill="D9E2F3" w:themeFill="accent5" w:themeFillTint="3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项目实地考察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68" w:type="dxa"/>
            <w:vMerge w:val="continue"/>
            <w:tcBorders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2F5496" w:themeFill="accent5" w:themeFillShade="B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:sz w:val="22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32" w:type="dxa"/>
            <w:gridSpan w:val="3"/>
            <w:shd w:val="clear" w:color="auto" w:fill="B4C6E7" w:themeFill="accent5" w:themeFillTint="66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并购博物馆参观</w:t>
            </w:r>
          </w:p>
        </w:tc>
      </w:tr>
    </w:tbl>
    <w:p>
      <w:pPr>
        <w:widowControl/>
        <w:jc w:val="left"/>
        <w:rPr>
          <w:rFonts w:cs="楷体" w:asciiTheme="minorEastAsia" w:hAnsiTheme="minorEastAsia"/>
          <w:b/>
          <w:sz w:val="24"/>
        </w:rPr>
      </w:pPr>
    </w:p>
    <w:p>
      <w:pPr>
        <w:widowControl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numPr>
          <w:ilvl w:val="0"/>
          <w:numId w:val="2"/>
        </w:numPr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并购交易嘉年华全球项目征集启动</w:t>
      </w:r>
    </w:p>
    <w:p>
      <w:pPr>
        <w:pStyle w:val="18"/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2016中国嘉定·并购交易嘉年华全球项目征集令”将荣登美国纽约时代广场巨型广告屏；40余种语言，170余个国家媒体的联袂报道；影响深远，耀动全球。</w:t>
      </w:r>
    </w:p>
    <w:p>
      <w:pPr>
        <w:pStyle w:val="18"/>
        <w:spacing w:line="390" w:lineRule="atLeast"/>
        <w:ind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spacing w:line="390" w:lineRule="atLeast"/>
        <w:ind w:left="420" w:firstLine="5" w:firstLineChars="2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drawing>
          <wp:inline distT="0" distB="0" distL="0" distR="0">
            <wp:extent cx="4924425" cy="2341245"/>
            <wp:effectExtent l="0" t="0" r="952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105" cy="23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楷体" w:asciiTheme="minorEastAsia" w:hAnsiTheme="minorEastAsia"/>
          <w:sz w:val="24"/>
        </w:rPr>
        <w:t xml:space="preserve"> </w:t>
      </w:r>
    </w:p>
    <w:p>
      <w:pPr>
        <w:pStyle w:val="18"/>
        <w:spacing w:line="390" w:lineRule="atLeast"/>
        <w:ind w:left="420" w:firstLine="5" w:firstLineChars="2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spacing w:line="390" w:lineRule="atLeast"/>
        <w:ind w:left="420" w:firstLine="5" w:firstLineChars="2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drawing>
          <wp:inline distT="0" distB="0" distL="0" distR="0">
            <wp:extent cx="5274310" cy="654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numPr>
          <w:ilvl w:val="0"/>
          <w:numId w:val="2"/>
        </w:numPr>
        <w:spacing w:line="390" w:lineRule="atLeast"/>
        <w:ind w:left="284" w:hanging="284"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 xml:space="preserve">最精彩的项目对接超市  </w:t>
      </w:r>
    </w:p>
    <w:p>
      <w:pPr>
        <w:pStyle w:val="18"/>
        <w:spacing w:line="390" w:lineRule="atLeast"/>
        <w:ind w:left="284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节能环保、PPP投资、TMT、医药健康、物联网、文化产业、地产、农业、金融等行业的100余个优质项目；</w:t>
      </w:r>
    </w:p>
    <w:p>
      <w:pPr>
        <w:pStyle w:val="18"/>
        <w:spacing w:line="390" w:lineRule="atLeast"/>
        <w:ind w:left="284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海内外金融机构的优质投资资源；</w:t>
      </w:r>
    </w:p>
    <w:p>
      <w:pPr>
        <w:pStyle w:val="18"/>
        <w:spacing w:line="390" w:lineRule="atLeast"/>
        <w:ind w:left="284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最轻松的投洽环境；</w:t>
      </w:r>
    </w:p>
    <w:p>
      <w:pPr>
        <w:pStyle w:val="18"/>
        <w:spacing w:line="390" w:lineRule="atLeast"/>
        <w:ind w:left="284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全球并购交易师们的汇聚地。</w:t>
      </w:r>
    </w:p>
    <w:p>
      <w:pPr>
        <w:pStyle w:val="18"/>
        <w:spacing w:line="390" w:lineRule="atLeast"/>
        <w:ind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60960</wp:posOffset>
            </wp:positionV>
            <wp:extent cx="4924425" cy="2218690"/>
            <wp:effectExtent l="0" t="0" r="952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801" cy="2227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center"/>
        <w:rPr>
          <w:rFonts w:cs="楷体" w:asciiTheme="minorEastAsia" w:hAnsiTheme="minorEastAsia"/>
          <w:b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 xml:space="preserve">  </w:t>
      </w:r>
    </w:p>
    <w:p>
      <w:pPr>
        <w:pStyle w:val="18"/>
        <w:tabs>
          <w:tab w:val="left" w:pos="284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numPr>
          <w:ilvl w:val="0"/>
          <w:numId w:val="1"/>
        </w:numPr>
        <w:tabs>
          <w:tab w:val="left" w:pos="284"/>
          <w:tab w:val="left" w:pos="420"/>
        </w:tabs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参观并购博物馆</w:t>
      </w:r>
    </w:p>
    <w:p>
      <w:pPr>
        <w:pStyle w:val="18"/>
        <w:tabs>
          <w:tab w:val="left" w:pos="284"/>
        </w:tabs>
        <w:spacing w:line="390" w:lineRule="atLeast"/>
        <w:ind w:left="284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2015全球首家并购主题博物馆于上海落成。并购博物馆秉承金融启蒙与金融创新的原则，不断捕捉日新月异的并购创新动态，通过“并购的来龙去脉”、“并购的交易”、“并购改变社会”、“中国并购的里程碑”、“苏州河畔金融史”和“中国并购的未来”等展厅再现产业重组、并购技术与金融创新的风云变化,让更多的企业家、金融家和创业者现场感受金融在生活中的变化，理解并购带来的颠覆力量。</w:t>
      </w: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171450</wp:posOffset>
            </wp:positionV>
            <wp:extent cx="5029200" cy="208343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3910" cy="208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spacing w:line="390" w:lineRule="atLeast"/>
        <w:ind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spacing w:line="390" w:lineRule="atLeast"/>
        <w:ind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spacing w:line="390" w:lineRule="atLeast"/>
        <w:ind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drawing>
          <wp:inline distT="0" distB="0" distL="0" distR="0">
            <wp:extent cx="5274310" cy="654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tabs>
          <w:tab w:val="left" w:pos="284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18"/>
        <w:numPr>
          <w:ilvl w:val="0"/>
          <w:numId w:val="2"/>
        </w:numPr>
        <w:tabs>
          <w:tab w:val="left" w:pos="284"/>
        </w:tabs>
        <w:spacing w:line="390" w:lineRule="atLeast"/>
        <w:ind w:hanging="562"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参会人员</w:t>
      </w:r>
    </w:p>
    <w:p>
      <w:pPr>
        <w:pStyle w:val="18"/>
        <w:numPr>
          <w:ilvl w:val="0"/>
          <w:numId w:val="3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并购交易师</w:t>
      </w:r>
    </w:p>
    <w:p>
      <w:pPr>
        <w:pStyle w:val="18"/>
        <w:numPr>
          <w:ilvl w:val="0"/>
          <w:numId w:val="3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并购公会理事及会员</w:t>
      </w:r>
    </w:p>
    <w:p>
      <w:pPr>
        <w:pStyle w:val="18"/>
        <w:numPr>
          <w:ilvl w:val="0"/>
          <w:numId w:val="3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全球投资与金融界领袖及知名人士</w:t>
      </w:r>
    </w:p>
    <w:p>
      <w:pPr>
        <w:pStyle w:val="18"/>
        <w:numPr>
          <w:ilvl w:val="0"/>
          <w:numId w:val="3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并购业界资深学者、专家</w:t>
      </w:r>
    </w:p>
    <w:p>
      <w:pPr>
        <w:pStyle w:val="18"/>
        <w:numPr>
          <w:ilvl w:val="0"/>
          <w:numId w:val="3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优质项目标的企业代表</w:t>
      </w:r>
    </w:p>
    <w:p>
      <w:pPr>
        <w:pStyle w:val="18"/>
        <w:numPr>
          <w:ilvl w:val="0"/>
          <w:numId w:val="4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在并购领域具有开拓和创新精神的精英群体</w:t>
      </w:r>
    </w:p>
    <w:p>
      <w:pPr>
        <w:pStyle w:val="18"/>
        <w:numPr>
          <w:ilvl w:val="0"/>
          <w:numId w:val="4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全球主流财经媒体</w:t>
      </w:r>
    </w:p>
    <w:p>
      <w:pPr>
        <w:tabs>
          <w:tab w:val="left" w:pos="426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</w:p>
    <w:p>
      <w:pPr>
        <w:tabs>
          <w:tab w:val="left" w:pos="426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drawing>
          <wp:inline distT="0" distB="0" distL="0" distR="0">
            <wp:extent cx="5274310" cy="654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6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</w:p>
    <w:p>
      <w:pPr>
        <w:numPr>
          <w:ilvl w:val="0"/>
          <w:numId w:val="5"/>
        </w:numPr>
        <w:tabs>
          <w:tab w:val="left" w:pos="426"/>
          <w:tab w:val="clear" w:pos="420"/>
        </w:tabs>
        <w:spacing w:line="390" w:lineRule="atLeast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参会形式-参加什么</w:t>
      </w:r>
    </w:p>
    <w:p>
      <w:pPr>
        <w:pStyle w:val="18"/>
        <w:numPr>
          <w:ilvl w:val="0"/>
          <w:numId w:val="6"/>
        </w:numPr>
        <w:tabs>
          <w:tab w:val="left" w:pos="284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 xml:space="preserve">主题论坛--时局解读 释放强音 </w:t>
      </w:r>
    </w:p>
    <w:p>
      <w:pPr>
        <w:pStyle w:val="18"/>
        <w:numPr>
          <w:ilvl w:val="0"/>
          <w:numId w:val="6"/>
        </w:numPr>
        <w:tabs>
          <w:tab w:val="left" w:pos="284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对话论坛--金融才技、高端碰撞</w:t>
      </w:r>
    </w:p>
    <w:p>
      <w:pPr>
        <w:pStyle w:val="18"/>
        <w:numPr>
          <w:ilvl w:val="0"/>
          <w:numId w:val="6"/>
        </w:numPr>
        <w:tabs>
          <w:tab w:val="left" w:pos="284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项目路演--高质量项目挖掘 高频次创投面对面</w:t>
      </w:r>
    </w:p>
    <w:p>
      <w:pPr>
        <w:pStyle w:val="18"/>
        <w:numPr>
          <w:ilvl w:val="0"/>
          <w:numId w:val="6"/>
        </w:numPr>
        <w:tabs>
          <w:tab w:val="left" w:pos="284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资本对接--集中优势资源 专注细分市场</w:t>
      </w:r>
    </w:p>
    <w:p>
      <w:pPr>
        <w:pStyle w:val="18"/>
        <w:tabs>
          <w:tab w:val="left" w:pos="284"/>
          <w:tab w:val="left" w:pos="3253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drawing>
          <wp:inline distT="0" distB="0" distL="0" distR="0">
            <wp:extent cx="5274310" cy="654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tabs>
          <w:tab w:val="left" w:pos="284"/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numPr>
          <w:ilvl w:val="0"/>
          <w:numId w:val="1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丰富的展示空间</w:t>
      </w:r>
    </w:p>
    <w:p>
      <w:pPr>
        <w:pStyle w:val="18"/>
        <w:numPr>
          <w:ilvl w:val="0"/>
          <w:numId w:val="7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您的形象将体现在专题网站、宣传资料、媒体平面、户外广告</w:t>
      </w:r>
    </w:p>
    <w:p>
      <w:pPr>
        <w:pStyle w:val="18"/>
        <w:numPr>
          <w:ilvl w:val="0"/>
          <w:numId w:val="7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您的LOGO将印制在背景布置、嘉年华刊物、请柬门票</w:t>
      </w:r>
    </w:p>
    <w:p>
      <w:pPr>
        <w:pStyle w:val="18"/>
        <w:numPr>
          <w:ilvl w:val="0"/>
          <w:numId w:val="7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您的名字将在媒体宣传、新闻发布和大会致辞中屡被提及</w:t>
      </w:r>
    </w:p>
    <w:p>
      <w:pPr>
        <w:pStyle w:val="18"/>
        <w:numPr>
          <w:ilvl w:val="0"/>
          <w:numId w:val="7"/>
        </w:numPr>
        <w:tabs>
          <w:tab w:val="left" w:pos="426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您的宣传品将被布置在活动现场</w:t>
      </w:r>
    </w:p>
    <w:p>
      <w:pPr>
        <w:pStyle w:val="18"/>
        <w:numPr>
          <w:ilvl w:val="0"/>
          <w:numId w:val="7"/>
        </w:numPr>
        <w:spacing w:line="390" w:lineRule="atLeast"/>
        <w:ind w:left="425" w:leftChars="-1" w:hanging="427" w:hangingChars="178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您的礼品将在活动现场向参会嘉宾分发</w:t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drawing>
          <wp:inline distT="0" distB="0" distL="0" distR="0">
            <wp:extent cx="5274310" cy="654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numPr>
          <w:ilvl w:val="0"/>
          <w:numId w:val="8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特别关注</w:t>
      </w:r>
    </w:p>
    <w:p>
      <w:pPr>
        <w:pStyle w:val="18"/>
        <w:numPr>
          <w:ilvl w:val="0"/>
          <w:numId w:val="9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资</w:t>
      </w:r>
      <w:r>
        <w:rPr>
          <w:rFonts w:cs="楷体" w:asciiTheme="minorEastAsia" w:hAnsiTheme="minorEastAsia"/>
          <w:b/>
          <w:sz w:val="24"/>
        </w:rPr>
        <w:t>本对接</w:t>
      </w:r>
      <w:r>
        <w:rPr>
          <w:rFonts w:hint="eastAsia" w:cs="楷体" w:asciiTheme="minorEastAsia" w:hAnsiTheme="minorEastAsia"/>
          <w:sz w:val="24"/>
        </w:rPr>
        <w:t>----并购交易一站式项目投资超市</w:t>
      </w:r>
    </w:p>
    <w:p>
      <w:pPr>
        <w:pStyle w:val="18"/>
        <w:numPr>
          <w:ilvl w:val="0"/>
          <w:numId w:val="10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对接会层次高、项目多、规模大</w:t>
      </w:r>
    </w:p>
    <w:p>
      <w:pPr>
        <w:pStyle w:val="18"/>
        <w:numPr>
          <w:ilvl w:val="0"/>
          <w:numId w:val="10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汇聚中国并购公会两百余家理事单位、企业及两千余名并购交易师。</w:t>
      </w:r>
    </w:p>
    <w:p>
      <w:pPr>
        <w:pStyle w:val="18"/>
        <w:numPr>
          <w:ilvl w:val="0"/>
          <w:numId w:val="10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参加对接会，将使您在最大范围接触投资项目和合作伙伴</w:t>
      </w:r>
    </w:p>
    <w:p>
      <w:pPr>
        <w:pStyle w:val="18"/>
        <w:numPr>
          <w:ilvl w:val="0"/>
          <w:numId w:val="10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一站式解决投资所需</w:t>
      </w:r>
    </w:p>
    <w:p>
      <w:pPr>
        <w:pStyle w:val="18"/>
        <w:numPr>
          <w:ilvl w:val="0"/>
          <w:numId w:val="10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组委会将从项目库中精选1000个项目发布，</w:t>
      </w:r>
      <w:r>
        <w:rPr>
          <w:rFonts w:cs="楷体" w:asciiTheme="minorEastAsia" w:hAnsiTheme="minorEastAsia"/>
          <w:sz w:val="24"/>
        </w:rPr>
        <w:t>100</w:t>
      </w:r>
      <w:r>
        <w:rPr>
          <w:rFonts w:hint="eastAsia" w:cs="楷体" w:asciiTheme="minorEastAsia" w:hAnsiTheme="minorEastAsia"/>
          <w:sz w:val="24"/>
        </w:rPr>
        <w:t>个项目参加洽谈对接。</w:t>
      </w:r>
    </w:p>
    <w:p>
      <w:pPr>
        <w:pStyle w:val="18"/>
        <w:numPr>
          <w:ilvl w:val="0"/>
          <w:numId w:val="9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即时高效的项目对接平台</w:t>
      </w:r>
    </w:p>
    <w:p>
      <w:pPr>
        <w:pStyle w:val="18"/>
        <w:numPr>
          <w:ilvl w:val="0"/>
          <w:numId w:val="11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并购交易师是广泛分布于全国并购相关产业链中的专业群体。在“专业、专注”的理念下，帮助企业精准定位客户</w:t>
      </w:r>
    </w:p>
    <w:p>
      <w:pPr>
        <w:pStyle w:val="18"/>
        <w:numPr>
          <w:ilvl w:val="0"/>
          <w:numId w:val="11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 xml:space="preserve">对接会将帮助您节约时间、拓展空间、压缩成本，以“面对面、一对一”交流方式最快实现合作共赢 </w:t>
      </w:r>
    </w:p>
    <w:p>
      <w:pPr>
        <w:pStyle w:val="18"/>
        <w:numPr>
          <w:ilvl w:val="0"/>
          <w:numId w:val="11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现场签约专属签约室供参会嘉宾免费预约使用</w:t>
      </w:r>
    </w:p>
    <w:p>
      <w:pPr>
        <w:pStyle w:val="18"/>
        <w:numPr>
          <w:ilvl w:val="0"/>
          <w:numId w:val="9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全面具体的商务拓展机会</w:t>
      </w:r>
    </w:p>
    <w:p>
      <w:pPr>
        <w:pStyle w:val="18"/>
        <w:tabs>
          <w:tab w:val="left" w:pos="3253"/>
        </w:tabs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洽谈交流、拓展人脉、联络感情、捕获商机、建立良好合作关系的绝佳机遇。</w:t>
      </w:r>
    </w:p>
    <w:p>
      <w:pPr>
        <w:pStyle w:val="18"/>
        <w:numPr>
          <w:ilvl w:val="0"/>
          <w:numId w:val="9"/>
        </w:numPr>
        <w:tabs>
          <w:tab w:val="left" w:pos="3253"/>
        </w:tabs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立体多维的品牌推广效应</w:t>
      </w:r>
    </w:p>
    <w:p>
      <w:pPr>
        <w:tabs>
          <w:tab w:val="left" w:pos="3253"/>
        </w:tabs>
        <w:spacing w:line="390" w:lineRule="atLeast"/>
        <w:ind w:left="420" w:leftChars="20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今年对接会将吸引境内外30多家媒体的50多位记者的关注和报道，形成立体多维的传播渠道，是企业进行品牌宣传的绝好途径</w:t>
      </w:r>
    </w:p>
    <w:p>
      <w:pPr>
        <w:tabs>
          <w:tab w:val="left" w:pos="3253"/>
        </w:tabs>
        <w:spacing w:line="390" w:lineRule="atLeast"/>
        <w:ind w:firstLine="480"/>
        <w:jc w:val="left"/>
        <w:rPr>
          <w:rFonts w:cs="楷体" w:asciiTheme="minorEastAsia" w:hAnsiTheme="minorEastAsia"/>
          <w:sz w:val="24"/>
        </w:rPr>
      </w:pPr>
    </w:p>
    <w:p>
      <w:pPr>
        <w:tabs>
          <w:tab w:val="left" w:pos="3253"/>
        </w:tabs>
        <w:spacing w:line="390" w:lineRule="atLeast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numPr>
          <w:ilvl w:val="0"/>
          <w:numId w:val="8"/>
        </w:numPr>
        <w:tabs>
          <w:tab w:val="left" w:pos="3253"/>
        </w:tabs>
        <w:spacing w:line="360" w:lineRule="auto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拟邀嘉宾:</w:t>
      </w:r>
    </w:p>
    <w:p>
      <w:pPr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 xml:space="preserve">中国并购公会荣誉会长、中欧国际工商学院荣誉院长 </w:t>
      </w:r>
      <w:r>
        <w:rPr>
          <w:rFonts w:cs="楷体" w:asciiTheme="minorEastAsia" w:hAnsiTheme="minorEastAsia"/>
          <w:sz w:val="24"/>
        </w:rPr>
        <w:t>刘吉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上海</w:t>
      </w:r>
      <w:r>
        <w:rPr>
          <w:rFonts w:cs="楷体" w:asciiTheme="minorEastAsia" w:hAnsiTheme="minorEastAsia"/>
          <w:sz w:val="24"/>
        </w:rPr>
        <w:t>市金融办主任</w:t>
      </w:r>
      <w:r>
        <w:rPr>
          <w:rFonts w:hint="eastAsia" w:cs="楷体" w:asciiTheme="minorEastAsia" w:hAnsiTheme="minorEastAsia"/>
          <w:sz w:val="24"/>
        </w:rPr>
        <w:t xml:space="preserve"> 郑</w:t>
      </w:r>
      <w:r>
        <w:rPr>
          <w:rFonts w:cs="楷体" w:asciiTheme="minorEastAsia" w:hAnsiTheme="minorEastAsia"/>
          <w:sz w:val="24"/>
        </w:rPr>
        <w:t>杨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上海市嘉定区区委副书记、区长  杲云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t>中国并购公会会长</w:t>
      </w:r>
      <w:r>
        <w:rPr>
          <w:rFonts w:hint="eastAsia" w:cs="楷体" w:asciiTheme="minorEastAsia" w:hAnsiTheme="minorEastAsia"/>
          <w:sz w:val="24"/>
        </w:rPr>
        <w:t xml:space="preserve"> 王巍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中国并购公会执行会长 尉立东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</w:t>
      </w:r>
      <w:r>
        <w:rPr>
          <w:rFonts w:cs="楷体" w:asciiTheme="minorEastAsia" w:hAnsiTheme="minorEastAsia"/>
          <w:sz w:val="24"/>
        </w:rPr>
        <w:t>国并购公会首席经济学家</w:t>
      </w:r>
      <w:r>
        <w:rPr>
          <w:rFonts w:hint="eastAsia" w:cs="楷体" w:asciiTheme="minorEastAsia" w:hAnsiTheme="minorEastAsia"/>
          <w:sz w:val="24"/>
        </w:rPr>
        <w:t xml:space="preserve"> 夏</w:t>
      </w:r>
      <w:r>
        <w:rPr>
          <w:rFonts w:cs="楷体" w:asciiTheme="minorEastAsia" w:hAnsiTheme="minorEastAsia"/>
          <w:sz w:val="24"/>
        </w:rPr>
        <w:t>斌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中国并购公会副会长、原</w:t>
      </w:r>
      <w:r>
        <w:rPr>
          <w:rFonts w:cs="楷体" w:asciiTheme="minorEastAsia" w:hAnsiTheme="minorEastAsia"/>
          <w:sz w:val="24"/>
        </w:rPr>
        <w:t>安永华明管理合伙人</w:t>
      </w:r>
      <w:r>
        <w:rPr>
          <w:rFonts w:hint="eastAsia" w:cs="楷体" w:asciiTheme="minorEastAsia" w:hAnsiTheme="minorEastAsia"/>
          <w:sz w:val="24"/>
        </w:rPr>
        <w:t xml:space="preserve"> 葛</w:t>
      </w:r>
      <w:r>
        <w:rPr>
          <w:rFonts w:cs="楷体" w:asciiTheme="minorEastAsia" w:hAnsiTheme="minorEastAsia"/>
          <w:sz w:val="24"/>
        </w:rPr>
        <w:t>明</w:t>
      </w:r>
    </w:p>
    <w:p>
      <w:pPr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中国并购公会副会长、中勤万信执行合伙人 李祥军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中国并购公会副会长、国富资本董事长 熊焰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中国并购公会副会长、安永华明合伙人 谢佳扬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中国并购公会副会长、国</w:t>
      </w:r>
      <w:r>
        <w:rPr>
          <w:rFonts w:cs="楷体" w:asciiTheme="minorEastAsia" w:hAnsiTheme="minorEastAsia"/>
          <w:sz w:val="24"/>
        </w:rPr>
        <w:t>浩律师事务所合伙人</w:t>
      </w:r>
      <w:r>
        <w:rPr>
          <w:rFonts w:hint="eastAsia" w:cs="楷体" w:asciiTheme="minorEastAsia" w:hAnsiTheme="minorEastAsia"/>
          <w:sz w:val="24"/>
        </w:rPr>
        <w:t xml:space="preserve"> 费</w:t>
      </w:r>
      <w:r>
        <w:rPr>
          <w:rFonts w:cs="楷体" w:asciiTheme="minorEastAsia" w:hAnsiTheme="minorEastAsia"/>
          <w:sz w:val="24"/>
        </w:rPr>
        <w:t xml:space="preserve">国平       </w:t>
      </w:r>
    </w:p>
    <w:p>
      <w:pPr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中国并购公会监事长、招商证券董事长 宫少林</w:t>
      </w:r>
      <w:r>
        <w:rPr>
          <w:rFonts w:cs="楷体" w:asciiTheme="minorEastAsia" w:hAnsiTheme="minorEastAsia"/>
          <w:sz w:val="24"/>
        </w:rPr>
        <w:t xml:space="preserve">       </w:t>
      </w:r>
    </w:p>
    <w:p>
      <w:pPr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中国并购公会常务理事、</w:t>
      </w:r>
      <w:r>
        <w:rPr>
          <w:rFonts w:hint="eastAsia"/>
          <w:color w:val="000000"/>
          <w:sz w:val="24"/>
          <w:shd w:val="clear" w:color="auto" w:fill="FFFFFF"/>
        </w:rPr>
        <w:t>银河证券董事长</w:t>
      </w:r>
      <w:r>
        <w:rPr>
          <w:rFonts w:hint="eastAsia" w:cs="楷体" w:asciiTheme="minorEastAsia" w:hAnsiTheme="minorEastAsia"/>
          <w:sz w:val="24"/>
        </w:rPr>
        <w:t xml:space="preserve"> 陈有安</w:t>
      </w:r>
    </w:p>
    <w:p>
      <w:pPr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中国并购公会常务理事、北京中科软件董事长 汤世生</w:t>
      </w:r>
      <w:r>
        <w:rPr>
          <w:rFonts w:cs="楷体" w:asciiTheme="minorEastAsia" w:hAnsiTheme="minorEastAsia"/>
          <w:sz w:val="24"/>
        </w:rPr>
        <w:t xml:space="preserve">       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中国并购公会上海分会会长、</w:t>
      </w:r>
      <w:r>
        <w:rPr>
          <w:rFonts w:cs="楷体" w:asciiTheme="minorEastAsia" w:hAnsiTheme="minorEastAsia"/>
          <w:sz w:val="24"/>
        </w:rPr>
        <w:t>上海金融与法律研究院董事长</w:t>
      </w:r>
      <w:r>
        <w:rPr>
          <w:rFonts w:hint="eastAsia" w:cs="楷体" w:asciiTheme="minorEastAsia" w:hAnsiTheme="minorEastAsia"/>
          <w:sz w:val="24"/>
        </w:rPr>
        <w:t xml:space="preserve"> </w:t>
      </w:r>
      <w:r>
        <w:rPr>
          <w:rFonts w:cs="楷体" w:asciiTheme="minorEastAsia" w:hAnsiTheme="minorEastAsia"/>
          <w:sz w:val="24"/>
        </w:rPr>
        <w:t>柳志伟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中国并购公会常务理事、中企华荣誉董事长 孙月焕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中国并购公会秘书长 顾宁珂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t>苏州元禾控股有限公司 董事长</w:t>
      </w:r>
      <w:r>
        <w:rPr>
          <w:rFonts w:hint="eastAsia" w:cs="楷体" w:asciiTheme="minorEastAsia" w:hAnsiTheme="minorEastAsia"/>
          <w:sz w:val="24"/>
        </w:rPr>
        <w:t xml:space="preserve"> 林</w:t>
      </w:r>
      <w:r>
        <w:rPr>
          <w:rFonts w:cs="楷体" w:asciiTheme="minorEastAsia" w:hAnsiTheme="minorEastAsia"/>
          <w:sz w:val="24"/>
        </w:rPr>
        <w:t>向红</w:t>
      </w:r>
    </w:p>
    <w:p>
      <w:pPr>
        <w:tabs>
          <w:tab w:val="left" w:pos="3253"/>
        </w:tabs>
        <w:spacing w:line="360" w:lineRule="auto"/>
        <w:jc w:val="left"/>
        <w:rPr>
          <w:rFonts w:cs="楷体" w:asciiTheme="minorEastAsia" w:hAnsiTheme="minorEastAsia"/>
          <w:sz w:val="24"/>
        </w:rPr>
      </w:pPr>
      <w:r>
        <w:rPr>
          <w:rFonts w:cs="楷体" w:asciiTheme="minorEastAsia" w:hAnsiTheme="minorEastAsia"/>
          <w:sz w:val="24"/>
        </w:rPr>
        <w:t>…………………………………</w:t>
      </w:r>
    </w:p>
    <w:p>
      <w:pPr>
        <w:pStyle w:val="18"/>
        <w:numPr>
          <w:ilvl w:val="0"/>
          <w:numId w:val="8"/>
        </w:numPr>
        <w:tabs>
          <w:tab w:val="left" w:pos="3253"/>
        </w:tabs>
        <w:spacing w:line="360" w:lineRule="auto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拟邀机构（排名不分先后）:</w:t>
      </w:r>
    </w:p>
    <w:p>
      <w:pPr>
        <w:pStyle w:val="18"/>
        <w:tabs>
          <w:tab w:val="left" w:pos="3253"/>
        </w:tabs>
        <w:spacing w:line="360" w:lineRule="auto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tbl>
      <w:tblPr>
        <w:tblStyle w:val="11"/>
        <w:tblW w:w="8296" w:type="dxa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shd w:val="clear" w:color="auto" w:fill="D8D8D8" w:themeFill="background1" w:themeFillShade="D9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全国中小企业股份转让系统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银河证券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申万宏源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招商证券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中诚信托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和君创业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D8D8D8" w:themeFill="background1" w:themeFillShade="D9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国富资本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红杉资本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D8D8D8" w:themeFill="background1" w:themeFillShade="D9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安永华明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光大控股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D8D8D8" w:themeFill="background1" w:themeFillShade="D9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永乐投资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毕马威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德勤</w:t>
            </w:r>
          </w:p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青域资本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国元证券</w:t>
            </w:r>
          </w:p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软银中国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君联资本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普华永道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尚融资本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苏州元禾重元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致同会计师事务所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上海浦东发展银行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九禹资产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hAnsi="宋体"/>
                <w:sz w:val="24"/>
              </w:rPr>
            </w:pPr>
            <w:r>
              <w:rPr>
                <w:rFonts w:hint="eastAsia" w:hAnsi="宋体"/>
                <w:sz w:val="24"/>
              </w:rPr>
              <w:t>同创伟业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中企华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达晨创投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楷体_GB2312"/>
                <w:sz w:val="24"/>
              </w:rPr>
            </w:pPr>
            <w:r>
              <w:rPr>
                <w:rFonts w:hint="eastAsia" w:ascii="楷体_GB2312"/>
                <w:sz w:val="24"/>
              </w:rPr>
              <w:t>侨丹投资咨询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埃森哲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鼎晖投资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建银国际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硅谷天堂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hAnsi="宋体"/>
                <w:sz w:val="24"/>
              </w:rPr>
            </w:pPr>
            <w:r>
              <w:rPr>
                <w:rFonts w:hint="eastAsia" w:hAnsi="宋体"/>
                <w:sz w:val="24"/>
              </w:rPr>
              <w:t>华英证券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九鼎投资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hAnsi="宋体"/>
                <w:sz w:val="24"/>
              </w:rPr>
            </w:pPr>
            <w:r>
              <w:rPr>
                <w:rFonts w:hint="eastAsia" w:hAnsi="宋体"/>
                <w:sz w:val="24"/>
              </w:rPr>
              <w:t>明石投资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hAnsi="宋体"/>
                <w:sz w:val="24"/>
              </w:rPr>
            </w:pPr>
            <w:r>
              <w:rPr>
                <w:rFonts w:hint="eastAsia" w:hAnsi="宋体"/>
                <w:sz w:val="24"/>
              </w:rPr>
              <w:t>首善财富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真格基金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国泰君安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hAnsi="宋体"/>
                <w:sz w:val="24"/>
              </w:rPr>
            </w:pPr>
            <w:r>
              <w:rPr>
                <w:rFonts w:hint="eastAsia" w:hAnsi="宋体"/>
                <w:sz w:val="24"/>
              </w:rPr>
              <w:t>万银资产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IDG资本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中科招商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丰利财富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凯德和灵资本</w:t>
            </w:r>
          </w:p>
        </w:tc>
      </w:tr>
    </w:tbl>
    <w:p>
      <w:pPr>
        <w:spacing w:line="360" w:lineRule="auto"/>
        <w:rPr>
          <w:rFonts w:ascii="宋体" w:hAnsi="宋体"/>
          <w:sz w:val="24"/>
        </w:rPr>
      </w:pPr>
    </w:p>
    <w:p>
      <w:pPr>
        <w:pStyle w:val="18"/>
        <w:numPr>
          <w:ilvl w:val="0"/>
          <w:numId w:val="2"/>
        </w:numPr>
        <w:spacing w:line="390" w:lineRule="atLeast"/>
        <w:ind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会议收费:</w:t>
      </w:r>
    </w:p>
    <w:p>
      <w:pPr>
        <w:pStyle w:val="18"/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numPr>
          <w:ilvl w:val="0"/>
          <w:numId w:val="12"/>
        </w:numPr>
        <w:spacing w:line="390" w:lineRule="atLeast"/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参会费：8800元人民币</w:t>
      </w:r>
      <w:r>
        <w:rPr>
          <w:rFonts w:hint="eastAsia" w:cs="楷体" w:asciiTheme="minorEastAsia" w:hAnsiTheme="minorEastAsia"/>
          <w:b/>
          <w:color w:val="5B9BD5" w:themeColor="accent1"/>
          <w:sz w:val="24"/>
          <w14:textFill>
            <w14:solidFill>
              <w14:schemeClr w14:val="accent1"/>
            </w14:solidFill>
          </w14:textFill>
        </w:rPr>
        <w:t>（并购交易师免费）</w:t>
      </w:r>
    </w:p>
    <w:p>
      <w:pPr>
        <w:pStyle w:val="18"/>
        <w:spacing w:line="390" w:lineRule="atLeast"/>
        <w:ind w:left="840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5人团购9折</w:t>
      </w:r>
    </w:p>
    <w:p>
      <w:pPr>
        <w:pStyle w:val="18"/>
        <w:spacing w:line="390" w:lineRule="atLeast"/>
        <w:ind w:left="840"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10人团购8折</w:t>
      </w:r>
    </w:p>
    <w:p>
      <w:pPr>
        <w:pStyle w:val="18"/>
        <w:spacing w:line="390" w:lineRule="atLeast"/>
        <w:ind w:left="420"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27"/>
        <w:numPr>
          <w:ilvl w:val="0"/>
          <w:numId w:val="12"/>
        </w:numPr>
        <w:tabs>
          <w:tab w:val="left" w:pos="3253"/>
        </w:tabs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项目路演：5万元人民币（限20家）</w:t>
      </w:r>
    </w:p>
    <w:p>
      <w:pPr>
        <w:pStyle w:val="18"/>
        <w:numPr>
          <w:ilvl w:val="0"/>
          <w:numId w:val="13"/>
        </w:numPr>
        <w:tabs>
          <w:tab w:val="left" w:pos="426"/>
        </w:tabs>
        <w:spacing w:line="390" w:lineRule="atLeast"/>
        <w:ind w:firstLine="6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在项目路演环节中面向广大并购交易师、投融资机构进行项目推介 （限30分钟）</w:t>
      </w:r>
    </w:p>
    <w:p>
      <w:pPr>
        <w:pStyle w:val="18"/>
        <w:numPr>
          <w:ilvl w:val="0"/>
          <w:numId w:val="13"/>
        </w:numPr>
        <w:tabs>
          <w:tab w:val="left" w:pos="426"/>
        </w:tabs>
        <w:spacing w:line="390" w:lineRule="atLeast"/>
        <w:ind w:firstLine="6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项目对接会专属1位席位</w:t>
      </w:r>
    </w:p>
    <w:p>
      <w:pPr>
        <w:pStyle w:val="18"/>
        <w:numPr>
          <w:ilvl w:val="0"/>
          <w:numId w:val="13"/>
        </w:numPr>
        <w:tabs>
          <w:tab w:val="left" w:pos="426"/>
        </w:tabs>
        <w:spacing w:line="390" w:lineRule="atLeast"/>
        <w:ind w:firstLine="6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送5位免费参会名额</w:t>
      </w:r>
    </w:p>
    <w:p>
      <w:pPr>
        <w:tabs>
          <w:tab w:val="left" w:pos="3253"/>
        </w:tabs>
        <w:ind w:firstLine="482" w:firstLineChars="200"/>
        <w:jc w:val="left"/>
        <w:rPr>
          <w:rFonts w:cs="楷体" w:asciiTheme="minorEastAsia" w:hAnsiTheme="minorEastAsia"/>
          <w:b/>
          <w:sz w:val="24"/>
        </w:rPr>
      </w:pPr>
    </w:p>
    <w:p>
      <w:pPr>
        <w:pStyle w:val="27"/>
        <w:numPr>
          <w:ilvl w:val="0"/>
          <w:numId w:val="14"/>
        </w:numPr>
        <w:tabs>
          <w:tab w:val="left" w:pos="3253"/>
        </w:tabs>
        <w:ind w:firstLineChars="0"/>
        <w:jc w:val="left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项目对接席位：1万元人民币（</w:t>
      </w:r>
      <w:r>
        <w:rPr>
          <w:rFonts w:cs="楷体" w:asciiTheme="minorEastAsia" w:hAnsiTheme="minorEastAsia"/>
          <w:b/>
          <w:sz w:val="24"/>
        </w:rPr>
        <w:t>80</w:t>
      </w:r>
      <w:r>
        <w:rPr>
          <w:rFonts w:hint="eastAsia" w:cs="楷体" w:asciiTheme="minorEastAsia" w:hAnsiTheme="minorEastAsia"/>
          <w:b/>
          <w:sz w:val="24"/>
        </w:rPr>
        <w:t>家）</w:t>
      </w:r>
    </w:p>
    <w:p>
      <w:pPr>
        <w:pStyle w:val="18"/>
        <w:numPr>
          <w:ilvl w:val="0"/>
          <w:numId w:val="13"/>
        </w:numPr>
        <w:tabs>
          <w:tab w:val="left" w:pos="426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在资本对接超市安排专属对接桌，与1000名来自海内外的投融资专家现场进行项目对接交流。</w:t>
      </w:r>
    </w:p>
    <w:p>
      <w:pPr>
        <w:pStyle w:val="18"/>
        <w:numPr>
          <w:ilvl w:val="0"/>
          <w:numId w:val="13"/>
        </w:numPr>
        <w:tabs>
          <w:tab w:val="left" w:pos="426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sz w:val="24"/>
        </w:rPr>
      </w:pPr>
      <w:r>
        <w:rPr>
          <w:rFonts w:hint="eastAsia" w:cs="楷体" w:asciiTheme="minorEastAsia" w:hAnsiTheme="minorEastAsia"/>
          <w:sz w:val="24"/>
        </w:rPr>
        <w:t>送2个位免费参会名额</w:t>
      </w:r>
    </w:p>
    <w:p>
      <w:pPr>
        <w:pStyle w:val="18"/>
        <w:tabs>
          <w:tab w:val="left" w:pos="426"/>
        </w:tabs>
        <w:spacing w:line="390" w:lineRule="atLeast"/>
        <w:ind w:firstLine="0" w:firstLineChars="0"/>
        <w:jc w:val="left"/>
        <w:rPr>
          <w:rFonts w:cs="楷体" w:asciiTheme="minorEastAsia" w:hAnsiTheme="minorEastAsia"/>
          <w:sz w:val="24"/>
        </w:rPr>
      </w:pPr>
    </w:p>
    <w:p>
      <w:pPr>
        <w:pStyle w:val="18"/>
        <w:tabs>
          <w:tab w:val="left" w:pos="426"/>
        </w:tabs>
        <w:spacing w:line="390" w:lineRule="atLeast"/>
        <w:ind w:firstLine="0" w:firstLineChars="0"/>
        <w:jc w:val="right"/>
        <w:rPr>
          <w:rFonts w:cs="楷体" w:asciiTheme="minorEastAsia" w:hAnsiTheme="minorEastAsia"/>
          <w:sz w:val="24"/>
        </w:rPr>
      </w:pPr>
    </w:p>
    <w:p>
      <w:pPr>
        <w:pStyle w:val="18"/>
        <w:tabs>
          <w:tab w:val="left" w:pos="426"/>
        </w:tabs>
        <w:spacing w:line="390" w:lineRule="atLeast"/>
        <w:ind w:firstLine="0" w:firstLineChars="0"/>
        <w:jc w:val="center"/>
        <w:rPr>
          <w:rFonts w:cs="楷体" w:asciiTheme="minorEastAsia" w:hAnsiTheme="minorEastAsia"/>
          <w:b/>
          <w:sz w:val="24"/>
        </w:rPr>
      </w:pPr>
      <w:r>
        <w:rPr>
          <w:rFonts w:hint="eastAsia" w:cs="楷体" w:asciiTheme="minorEastAsia" w:hAnsiTheme="minorEastAsia"/>
          <w:b/>
          <w:sz w:val="24"/>
        </w:rPr>
        <w:t>解释权归属中国并购公会并购交易师认证与考试委员会</w:t>
      </w:r>
    </w:p>
    <w:p>
      <w:pPr>
        <w:pStyle w:val="18"/>
        <w:tabs>
          <w:tab w:val="left" w:pos="426"/>
        </w:tabs>
        <w:spacing w:line="390" w:lineRule="atLeast"/>
        <w:ind w:firstLine="0" w:firstLineChars="0"/>
        <w:jc w:val="right"/>
        <w:rPr>
          <w:rFonts w:cs="楷体" w:asciiTheme="minorEastAsia" w:hAnsiTheme="minorEastAsia"/>
          <w:b/>
          <w:sz w:val="24"/>
        </w:rPr>
      </w:pPr>
    </w:p>
    <w:p>
      <w:pPr>
        <w:pStyle w:val="18"/>
        <w:tabs>
          <w:tab w:val="left" w:pos="426"/>
        </w:tabs>
        <w:spacing w:line="390" w:lineRule="atLeast"/>
        <w:ind w:firstLine="0" w:firstLineChars="0"/>
        <w:jc w:val="right"/>
        <w:rPr>
          <w:rFonts w:cs="楷体" w:asciiTheme="minorEastAsia" w:hAnsiTheme="minorEastAsia"/>
          <w:b/>
          <w:sz w:val="24"/>
        </w:rPr>
      </w:pPr>
    </w:p>
    <w:p>
      <w:pPr>
        <w:spacing w:line="360" w:lineRule="auto"/>
        <w:rPr>
          <w:rFonts w:cs="楷体" w:asciiTheme="minorEastAsia" w:hAnsiTheme="minorEastAsia"/>
          <w:b/>
          <w:sz w:val="24"/>
        </w:rPr>
      </w:pPr>
      <w:r>
        <w:rPr>
          <w:rFonts w:cs="楷体" w:asciiTheme="minorEastAsia" w:hAnsiTheme="minorEastAsia"/>
          <w:sz w:val="24"/>
        </w:rPr>
        <w:drawing>
          <wp:anchor distT="0" distB="0" distL="114300" distR="114300" simplePos="0" relativeHeight="251958272" behindDoc="0" locked="1" layoutInCell="1" allowOverlap="1">
            <wp:simplePos x="0" y="0"/>
            <wp:positionH relativeFrom="column">
              <wp:posOffset>-4670425</wp:posOffset>
            </wp:positionH>
            <wp:positionV relativeFrom="page">
              <wp:posOffset>-5771515</wp:posOffset>
            </wp:positionV>
            <wp:extent cx="9071610" cy="50165"/>
            <wp:effectExtent l="0" t="4128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9071610" cy="5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楷体" w:asciiTheme="minorEastAsia" w:hAnsiTheme="minorEastAsia"/>
          <w:b/>
          <w:sz w:val="24"/>
        </w:rPr>
        <w:t>附录：</w:t>
      </w:r>
    </w:p>
    <w:p>
      <w:pPr>
        <w:spacing w:line="360" w:lineRule="auto"/>
        <w:ind w:right="-58"/>
        <w:jc w:val="left"/>
        <w:rPr>
          <w:rFonts w:cs="楷体" w:asciiTheme="minorEastAsia" w:hAnsiTheme="minorEastAsia"/>
          <w:b/>
          <w:sz w:val="24"/>
        </w:rPr>
      </w:pPr>
      <w:r>
        <w:rPr>
          <w:rFonts w:ascii="华文行楷" w:hAnsi="黑体" w:eastAsia="华文行楷" w:cs="楷体"/>
          <w:sz w:val="72"/>
          <w:szCs w:val="72"/>
        </w:rPr>
        <w:drawing>
          <wp:inline distT="0" distB="0" distL="0" distR="0">
            <wp:extent cx="335915" cy="228600"/>
            <wp:effectExtent l="0" t="0" r="0" b="0"/>
            <wp:docPr id="15" name="图片 15" descr="C:\Users\cmaa\AppData\Local\Temp\WeChat Files\764574485495517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cmaa\AppData\Local\Temp\WeChat Files\76457448549551778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34" cy="2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楷体" w:asciiTheme="minorEastAsia" w:hAnsiTheme="minorEastAsia"/>
          <w:b/>
          <w:sz w:val="24"/>
        </w:rPr>
        <w:t xml:space="preserve"> 中国并购公会 </w:t>
      </w:r>
    </w:p>
    <w:p>
      <w:pPr>
        <w:tabs>
          <w:tab w:val="left" w:pos="3253"/>
        </w:tabs>
        <w:spacing w:line="360" w:lineRule="auto"/>
        <w:jc w:val="left"/>
        <w:rPr>
          <w:rFonts w:cs="仿宋" w:asciiTheme="minorEastAsia" w:hAnsiTheme="minorEastAsia"/>
          <w:szCs w:val="21"/>
        </w:rPr>
      </w:pPr>
      <w:r>
        <w:rPr>
          <w:rFonts w:hint="eastAsia" w:cs="仿宋" w:asciiTheme="minorEastAsia" w:hAnsiTheme="minorEastAsia"/>
          <w:sz w:val="24"/>
        </w:rPr>
        <w:t>中国并购公会（全联并购公会）是经国务院批准、由民政部批复成立的非盈利性民间行业协会。并购公会设立于</w:t>
      </w:r>
      <w:r>
        <w:rPr>
          <w:rFonts w:cs="仿宋" w:asciiTheme="minorEastAsia" w:hAnsiTheme="minorEastAsia"/>
          <w:sz w:val="24"/>
        </w:rPr>
        <w:t xml:space="preserve"> 2004 </w:t>
      </w:r>
      <w:r>
        <w:rPr>
          <w:rFonts w:hint="eastAsia" w:cs="仿宋" w:asciiTheme="minorEastAsia" w:hAnsiTheme="minorEastAsia"/>
          <w:sz w:val="24"/>
        </w:rPr>
        <w:t>年</w:t>
      </w:r>
      <w:r>
        <w:rPr>
          <w:rFonts w:cs="仿宋" w:asciiTheme="minorEastAsia" w:hAnsiTheme="minorEastAsia"/>
          <w:sz w:val="24"/>
        </w:rPr>
        <w:t xml:space="preserve"> 9 </w:t>
      </w:r>
      <w:r>
        <w:rPr>
          <w:rFonts w:hint="eastAsia" w:cs="仿宋" w:asciiTheme="minorEastAsia" w:hAnsiTheme="minorEastAsia"/>
          <w:sz w:val="24"/>
        </w:rPr>
        <w:t>月，总部位于北京，在上海、福建、江苏、山东、广东、香港、贵州、浙江和日本、美国等地设有分支机构。并购公会为国内外企业界和政府部门提供战略顾问、并购操作、管理咨询、资产评估、融资安排、法律及财务等投资银行服务，广泛联络各界精英结盟，致力于推动中国并购市场的规范与成熟，协助中国企业的全球化进程。</w:t>
      </w:r>
    </w:p>
    <w:p>
      <w:pPr>
        <w:tabs>
          <w:tab w:val="left" w:pos="3253"/>
        </w:tabs>
        <w:spacing w:line="360" w:lineRule="auto"/>
        <w:jc w:val="center"/>
        <w:rPr>
          <w:rFonts w:cs="仿宋" w:asciiTheme="minorEastAsia" w:hAnsiTheme="minorEastAsia"/>
          <w:szCs w:val="21"/>
        </w:rPr>
      </w:pPr>
      <w:r>
        <w:rPr>
          <w:rFonts w:ascii="黑体" w:hAnsi="黑体" w:eastAsia="黑体"/>
          <w:sz w:val="24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posOffset>803910</wp:posOffset>
            </wp:positionH>
            <wp:positionV relativeFrom="margin">
              <wp:posOffset>6562725</wp:posOffset>
            </wp:positionV>
            <wp:extent cx="3038475" cy="1714500"/>
            <wp:effectExtent l="0" t="0" r="9525" b="0"/>
            <wp:wrapSquare wrapText="bothSides"/>
            <wp:docPr id="16" name="图片 16" descr="D:\并购公会\微信\未标题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并购公会\微信\未标题-1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bCs/>
          <w:sz w:val="26"/>
          <w:szCs w:val="26"/>
        </w:rPr>
      </w:pP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bCs/>
          <w:sz w:val="26"/>
          <w:szCs w:val="26"/>
        </w:rPr>
      </w:pP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bCs/>
          <w:sz w:val="26"/>
          <w:szCs w:val="26"/>
        </w:rPr>
      </w:pP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bCs/>
          <w:sz w:val="26"/>
          <w:szCs w:val="26"/>
        </w:rPr>
      </w:pPr>
      <w:r>
        <w:rPr>
          <w:rFonts w:ascii="仿宋" w:hAnsi="仿宋" w:eastAsia="仿宋" w:cs="仿宋"/>
          <w:b/>
          <w:bCs/>
          <w:sz w:val="26"/>
          <w:szCs w:val="26"/>
        </w:rPr>
        <w:br w:type="textWrapping"/>
      </w:r>
      <w:r>
        <w:rPr>
          <w:rFonts w:ascii="仿宋" w:hAnsi="仿宋" w:eastAsia="仿宋" w:cs="仿宋"/>
          <w:b/>
          <w:bCs/>
          <w:sz w:val="26"/>
          <w:szCs w:val="26"/>
        </w:rPr>
        <w:br w:type="textWrapping"/>
      </w: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bCs/>
          <w:sz w:val="26"/>
          <w:szCs w:val="26"/>
        </w:rPr>
      </w:pPr>
      <w:r>
        <w:rPr>
          <w:rFonts w:hint="eastAsia" w:ascii="仿宋" w:hAnsi="仿宋" w:eastAsia="仿宋" w:cs="仿宋"/>
          <w:b/>
          <w:bCs/>
          <w:sz w:val="26"/>
          <w:szCs w:val="26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-60960</wp:posOffset>
            </wp:positionV>
            <wp:extent cx="219075" cy="379730"/>
            <wp:effectExtent l="0" t="0" r="9525" b="127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6"/>
          <w:szCs w:val="26"/>
        </w:rPr>
        <w:t>并购博物馆</w:t>
      </w:r>
    </w:p>
    <w:p>
      <w:pPr>
        <w:tabs>
          <w:tab w:val="left" w:pos="3253"/>
        </w:tabs>
        <w:spacing w:line="360" w:lineRule="auto"/>
        <w:jc w:val="left"/>
        <w:rPr>
          <w:rFonts w:cs="仿宋" w:asciiTheme="minorEastAsia" w:hAnsiTheme="minorEastAsia"/>
          <w:sz w:val="24"/>
        </w:rPr>
      </w:pPr>
      <w:r>
        <w:rPr>
          <w:rFonts w:hint="eastAsia" w:cs="仿宋" w:asciiTheme="minorEastAsia" w:hAnsiTheme="minorEastAsia"/>
          <w:sz w:val="24"/>
        </w:rPr>
        <w:t>2015全球首家并购主题博物馆于上海落成。并购博物馆秉承“金融启蒙与金融创新”的理念，不断捕捉日新月异的并购创新动态，通过“并购的来龙去脉”、“并购的交易”、“并购改变社会”、“中国并购的里程碑”、“苏州河畔金融史”和“中国并购的未来”等展厅再现产业重组、并购技术与金融创新的风云变化,让更多的企业家、金融家和创业者现场感受金融在生活中的变化，感受并购带来的颠覆力量。</w:t>
      </w:r>
    </w:p>
    <w:p>
      <w:pPr>
        <w:tabs>
          <w:tab w:val="left" w:pos="3253"/>
        </w:tabs>
        <w:spacing w:line="360" w:lineRule="auto"/>
        <w:jc w:val="left"/>
        <w:rPr>
          <w:rFonts w:cs="仿宋" w:asciiTheme="minorEastAsia" w:hAnsiTheme="minorEastAsia"/>
          <w:sz w:val="24"/>
        </w:rPr>
      </w:pPr>
      <w:r>
        <w:rPr>
          <w:rFonts w:cs="仿宋" w:asciiTheme="minorEastAsia" w:hAnsiTheme="minorEastAsia"/>
          <w:sz w:val="24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margin">
              <wp:posOffset>962025</wp:posOffset>
            </wp:positionH>
            <wp:positionV relativeFrom="margin">
              <wp:posOffset>2247900</wp:posOffset>
            </wp:positionV>
            <wp:extent cx="3234690" cy="1781175"/>
            <wp:effectExtent l="0" t="0" r="3810" b="952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7" b="11877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781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53"/>
        </w:tabs>
        <w:spacing w:line="360" w:lineRule="auto"/>
        <w:ind w:firstLine="480" w:firstLineChars="200"/>
        <w:jc w:val="left"/>
        <w:rPr>
          <w:rFonts w:cs="仿宋" w:asciiTheme="minorEastAsia" w:hAnsiTheme="minorEastAsia"/>
          <w:sz w:val="24"/>
        </w:rPr>
      </w:pP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sz w:val="26"/>
          <w:szCs w:val="26"/>
        </w:rPr>
      </w:pP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sz w:val="26"/>
          <w:szCs w:val="26"/>
        </w:rPr>
      </w:pP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sz w:val="26"/>
          <w:szCs w:val="26"/>
        </w:rPr>
      </w:pP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sz w:val="26"/>
          <w:szCs w:val="26"/>
        </w:rPr>
      </w:pPr>
    </w:p>
    <w:p>
      <w:pPr>
        <w:tabs>
          <w:tab w:val="left" w:pos="3253"/>
        </w:tabs>
        <w:spacing w:line="580" w:lineRule="exact"/>
        <w:jc w:val="left"/>
        <w:rPr>
          <w:rFonts w:ascii="仿宋" w:hAnsi="仿宋" w:eastAsia="仿宋" w:cs="仿宋"/>
          <w:b/>
          <w:sz w:val="26"/>
          <w:szCs w:val="26"/>
        </w:rPr>
      </w:pPr>
      <w:r>
        <w:rPr>
          <w:rFonts w:hint="eastAsia" w:ascii="仿宋" w:hAnsi="仿宋" w:eastAsia="仿宋" w:cs="仿宋"/>
          <w:b/>
          <w:sz w:val="26"/>
          <w:szCs w:val="26"/>
        </w:rPr>
        <w:t>上海市嘉定区</w:t>
      </w:r>
    </w:p>
    <w:p>
      <w:pPr>
        <w:tabs>
          <w:tab w:val="left" w:pos="3253"/>
        </w:tabs>
        <w:spacing w:line="360" w:lineRule="auto"/>
        <w:jc w:val="left"/>
        <w:rPr>
          <w:rFonts w:cs="仿宋" w:asciiTheme="minorEastAsia" w:hAnsiTheme="minorEastAsia"/>
          <w:sz w:val="24"/>
        </w:rPr>
      </w:pPr>
      <w:r>
        <w:rPr>
          <w:rFonts w:hint="eastAsia" w:cs="仿宋" w:asciiTheme="minorEastAsia" w:hAnsiTheme="minorEastAsia"/>
          <w:sz w:val="24"/>
        </w:rPr>
        <w:t>嘉定地处上海西北部，和上海虹桥机场仅一河之隔，是上海通往“长三角”经济腹地的重要门户。全区总面积463.6平方公里，常驻人口156万左右，其中户籍人口约66万。</w:t>
      </w:r>
      <w:r>
        <w:rPr>
          <w:rFonts w:cs="仿宋" w:asciiTheme="minorEastAsia" w:hAnsiTheme="minorEastAsia"/>
          <w:sz w:val="24"/>
        </w:rPr>
        <w:t>近年来嘉定</w:t>
      </w:r>
      <w:r>
        <w:rPr>
          <w:rFonts w:hint="eastAsia" w:cs="仿宋" w:asciiTheme="minorEastAsia" w:hAnsiTheme="minorEastAsia"/>
          <w:sz w:val="24"/>
        </w:rPr>
        <w:t>的</w:t>
      </w:r>
      <w:r>
        <w:rPr>
          <w:rFonts w:cs="仿宋" w:asciiTheme="minorEastAsia" w:hAnsiTheme="minorEastAsia"/>
          <w:sz w:val="24"/>
        </w:rPr>
        <w:t>经济保持高速增长,</w:t>
      </w:r>
      <w:r>
        <w:rPr>
          <w:rFonts w:hint="eastAsia" w:cs="仿宋" w:asciiTheme="minorEastAsia" w:hAnsiTheme="minorEastAsia"/>
          <w:sz w:val="24"/>
        </w:rPr>
        <w:t xml:space="preserve"> </w:t>
      </w:r>
      <w:r>
        <w:rPr>
          <w:rFonts w:cs="仿宋" w:asciiTheme="minorEastAsia" w:hAnsiTheme="minorEastAsia"/>
          <w:sz w:val="24"/>
        </w:rPr>
        <w:t>显示了较强的</w:t>
      </w:r>
      <w:r>
        <w:fldChar w:fldCharType="begin"/>
      </w:r>
      <w:r>
        <w:instrText xml:space="preserve"> HYPERLINK "http://stock.eastmoney.com/hangye/hy539.html" </w:instrText>
      </w:r>
      <w:r>
        <w:fldChar w:fldCharType="separate"/>
      </w:r>
      <w:r>
        <w:rPr>
          <w:rFonts w:cs="仿宋" w:asciiTheme="minorEastAsia" w:hAnsiTheme="minorEastAsia"/>
          <w:sz w:val="24"/>
        </w:rPr>
        <w:t>综合</w:t>
      </w:r>
      <w:r>
        <w:rPr>
          <w:rFonts w:cs="仿宋" w:asciiTheme="minorEastAsia" w:hAnsiTheme="minorEastAsia"/>
          <w:sz w:val="24"/>
        </w:rPr>
        <w:fldChar w:fldCharType="end"/>
      </w:r>
      <w:r>
        <w:rPr>
          <w:rFonts w:cs="仿宋" w:asciiTheme="minorEastAsia" w:hAnsiTheme="minorEastAsia"/>
          <w:sz w:val="24"/>
        </w:rPr>
        <w:t>竞争实力。</w:t>
      </w:r>
      <w:r>
        <w:rPr>
          <w:rFonts w:hint="eastAsia" w:cs="仿宋" w:asciiTheme="minorEastAsia" w:hAnsiTheme="minorEastAsia"/>
          <w:sz w:val="24"/>
        </w:rPr>
        <w:t>嘉定不仅是国际汽车城和高科技产业城，还有</w:t>
      </w:r>
      <w:r>
        <w:rPr>
          <w:rFonts w:cs="仿宋" w:asciiTheme="minorEastAsia" w:hAnsiTheme="minorEastAsia"/>
          <w:sz w:val="24"/>
        </w:rPr>
        <w:t>正在蓬勃的</w:t>
      </w:r>
      <w:r>
        <w:fldChar w:fldCharType="begin"/>
      </w:r>
      <w:r>
        <w:instrText xml:space="preserve"> HYPERLINK "http://topic.eastmoney.com/2013szqh/" </w:instrText>
      </w:r>
      <w:r>
        <w:fldChar w:fldCharType="separate"/>
      </w:r>
      <w:r>
        <w:rPr>
          <w:rFonts w:cs="仿宋" w:asciiTheme="minorEastAsia" w:hAnsiTheme="minorEastAsia"/>
          <w:sz w:val="24"/>
        </w:rPr>
        <w:t>资本市场</w:t>
      </w:r>
      <w:r>
        <w:rPr>
          <w:rFonts w:cs="仿宋" w:asciiTheme="minorEastAsia" w:hAnsiTheme="minorEastAsia"/>
          <w:sz w:val="24"/>
        </w:rPr>
        <w:fldChar w:fldCharType="end"/>
      </w:r>
      <w:r>
        <w:rPr>
          <w:rFonts w:cs="仿宋" w:asciiTheme="minorEastAsia" w:hAnsiTheme="minorEastAsia"/>
          <w:sz w:val="24"/>
        </w:rPr>
        <w:t>和新兴金融产业,目前嘉定已经拥有上市企业</w:t>
      </w:r>
      <w:r>
        <w:rPr>
          <w:rFonts w:hint="eastAsia" w:cs="仿宋" w:asciiTheme="minorEastAsia" w:hAnsiTheme="minorEastAsia"/>
          <w:sz w:val="24"/>
        </w:rPr>
        <w:t>10</w:t>
      </w:r>
      <w:r>
        <w:rPr>
          <w:rFonts w:cs="仿宋" w:asciiTheme="minorEastAsia" w:hAnsiTheme="minorEastAsia"/>
          <w:sz w:val="24"/>
        </w:rPr>
        <w:t>家、新三板</w:t>
      </w:r>
      <w:r>
        <w:rPr>
          <w:rFonts w:hint="eastAsia" w:cs="仿宋" w:asciiTheme="minorEastAsia" w:hAnsiTheme="minorEastAsia"/>
          <w:sz w:val="24"/>
        </w:rPr>
        <w:t>挂牌62家、</w:t>
      </w:r>
      <w:r>
        <w:rPr>
          <w:rFonts w:cs="仿宋" w:asciiTheme="minorEastAsia" w:hAnsiTheme="minorEastAsia"/>
          <w:sz w:val="24"/>
        </w:rPr>
        <w:t>上海股交中心挂牌企业</w:t>
      </w:r>
      <w:r>
        <w:rPr>
          <w:rFonts w:hint="eastAsia" w:cs="仿宋" w:asciiTheme="minorEastAsia" w:hAnsiTheme="minorEastAsia"/>
          <w:sz w:val="24"/>
        </w:rPr>
        <w:t>126</w:t>
      </w:r>
      <w:r>
        <w:rPr>
          <w:rFonts w:cs="仿宋" w:asciiTheme="minorEastAsia" w:hAnsiTheme="minorEastAsia"/>
          <w:sz w:val="24"/>
        </w:rPr>
        <w:t>家</w:t>
      </w:r>
      <w:r>
        <w:rPr>
          <w:rFonts w:hint="eastAsia" w:cs="仿宋" w:asciiTheme="minorEastAsia" w:hAnsiTheme="minorEastAsia"/>
          <w:sz w:val="24"/>
        </w:rPr>
        <w:t>。嘉定正在推进现代化新型城市建设，目标是打造长三角综合性节点城市。按照产城融合发展理念，新城形象已经基本呈现，布局了一批上海最优质的生活性、公共性配套设施，被评为“中国最佳生态宜居城市”。</w:t>
      </w:r>
      <w:r>
        <w:rPr>
          <w:rFonts w:cs="仿宋" w:asciiTheme="minorEastAsia" w:hAnsiTheme="minorEastAsia"/>
          <w:sz w:val="24"/>
        </w:rPr>
        <w:br w:type="textWrapping"/>
      </w:r>
      <w:r>
        <w:rPr>
          <w:rFonts w:hint="eastAsia" w:cs="仿宋" w:asciiTheme="minorEastAsia" w:hAnsiTheme="minorEastAsia"/>
          <w:sz w:val="24"/>
        </w:rPr>
        <w:t xml:space="preserve">  </w:t>
      </w:r>
      <w:r>
        <w:rPr>
          <w:rFonts w:cs="仿宋" w:asciiTheme="minorEastAsia" w:hAnsiTheme="minorEastAsia"/>
          <w:sz w:val="24"/>
        </w:rPr>
        <w:drawing>
          <wp:inline distT="0" distB="0" distL="0" distR="0">
            <wp:extent cx="4914900" cy="16579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966" cy="16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3253"/>
        </w:tabs>
        <w:spacing w:line="580" w:lineRule="exact"/>
        <w:jc w:val="left"/>
      </w:pPr>
      <w:r>
        <w:drawing>
          <wp:anchor distT="0" distB="0" distL="114300" distR="114300" simplePos="0" relativeHeight="251969536" behindDoc="0" locked="0" layoutInCell="1" allowOverlap="1">
            <wp:simplePos x="0" y="0"/>
            <wp:positionH relativeFrom="margin">
              <wp:posOffset>1156970</wp:posOffset>
            </wp:positionH>
            <wp:positionV relativeFrom="margin">
              <wp:posOffset>3390900</wp:posOffset>
            </wp:positionV>
            <wp:extent cx="2667000" cy="1304925"/>
            <wp:effectExtent l="0" t="0" r="0" b="9525"/>
            <wp:wrapSquare wrapText="bothSides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8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04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sz w:val="26"/>
          <w:szCs w:val="26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733425</wp:posOffset>
            </wp:positionV>
            <wp:extent cx="298450" cy="200660"/>
            <wp:effectExtent l="0" t="0" r="6350" b="889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sz w:val="26"/>
          <w:szCs w:val="26"/>
        </w:rPr>
        <w:t>并购交易师</w:t>
      </w:r>
      <w:r>
        <w:br w:type="textWrapping"/>
      </w:r>
      <w:r>
        <w:rPr>
          <w:rFonts w:hint="eastAsia" w:cs="仿宋" w:asciiTheme="minorEastAsia" w:hAnsiTheme="minorEastAsia"/>
          <w:sz w:val="24"/>
        </w:rPr>
        <w:t>并购交易师（英文：</w:t>
      </w:r>
      <w:r>
        <w:rPr>
          <w:rFonts w:cs="仿宋" w:asciiTheme="minorEastAsia" w:hAnsiTheme="minorEastAsia"/>
          <w:sz w:val="24"/>
        </w:rPr>
        <w:t>The Certified Dealmaker</w:t>
      </w:r>
      <w:r>
        <w:rPr>
          <w:rFonts w:hint="eastAsia" w:cs="仿宋" w:asciiTheme="minorEastAsia" w:hAnsiTheme="minorEastAsia"/>
          <w:sz w:val="24"/>
        </w:rPr>
        <w:t>）是面向金融和企业界专业人士的并购交易能力与资格认证，由中国并购公会颁发。并购交易师采取认证管理制，在并购交易职业操守，专业能力以及知识体系等方面设立规范与标准。通过并购交易师资格审核或全国统一考试者，将获得中国并购公会的资质认可。并购交易师考试与认证委员会是中国并购公会的专门委员会，负责办理并购交易师考试及认证事务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roma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4820194"/>
    </w:sdtPr>
    <w:sdtContent>
      <w:p>
        <w:pPr>
          <w:pStyle w:val="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2F61"/>
    <w:multiLevelType w:val="multilevel"/>
    <w:tmpl w:val="03E62F61"/>
    <w:lvl w:ilvl="0" w:tentative="0">
      <w:start w:val="1"/>
      <w:numFmt w:val="bullet"/>
      <w:lvlText w:val="-"/>
      <w:lvlJc w:val="left"/>
      <w:pPr>
        <w:ind w:left="420" w:hanging="420"/>
      </w:pPr>
      <w:rPr>
        <w:rFonts w:hint="default" w:ascii="Sitka Subheading" w:hAnsi="Sitka Subheading"/>
        <w:b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83C1C88"/>
    <w:multiLevelType w:val="multilevel"/>
    <w:tmpl w:val="083C1C8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0070C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C0D0D19"/>
    <w:multiLevelType w:val="multilevel"/>
    <w:tmpl w:val="0C0D0D19"/>
    <w:lvl w:ilvl="0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12D95528"/>
    <w:multiLevelType w:val="multilevel"/>
    <w:tmpl w:val="12D95528"/>
    <w:lvl w:ilvl="0" w:tentative="0">
      <w:start w:val="1"/>
      <w:numFmt w:val="bullet"/>
      <w:lvlText w:val="-"/>
      <w:lvlJc w:val="left"/>
      <w:pPr>
        <w:ind w:left="420" w:hanging="420"/>
      </w:pPr>
      <w:rPr>
        <w:rFonts w:hint="default" w:ascii="Sitka Subheading" w:hAnsi="Sitka Subheading"/>
        <w:b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153D0C6F"/>
    <w:multiLevelType w:val="multilevel"/>
    <w:tmpl w:val="153D0C6F"/>
    <w:lvl w:ilvl="0" w:tentative="0">
      <w:start w:val="1"/>
      <w:numFmt w:val="bullet"/>
      <w:lvlText w:val="-"/>
      <w:lvlJc w:val="left"/>
      <w:pPr>
        <w:ind w:left="420" w:hanging="420"/>
      </w:pPr>
      <w:rPr>
        <w:rFonts w:hint="default" w:ascii="Sitka Subheading" w:hAnsi="Sitka Subheading"/>
        <w:b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4ED4E84"/>
    <w:multiLevelType w:val="multilevel"/>
    <w:tmpl w:val="24ED4E8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2E75B6" w:themeColor="accent1" w:themeShade="BF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309A3BC2"/>
    <w:multiLevelType w:val="multilevel"/>
    <w:tmpl w:val="309A3BC2"/>
    <w:lvl w:ilvl="0" w:tentative="0">
      <w:start w:val="1"/>
      <w:numFmt w:val="bullet"/>
      <w:lvlText w:val=""/>
      <w:lvlJc w:val="left"/>
      <w:pPr>
        <w:ind w:left="90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2" w:hanging="420"/>
      </w:pPr>
      <w:rPr>
        <w:rFonts w:hint="default" w:ascii="Wingdings" w:hAnsi="Wingdings"/>
      </w:rPr>
    </w:lvl>
  </w:abstractNum>
  <w:abstractNum w:abstractNumId="7">
    <w:nsid w:val="338A7C9E"/>
    <w:multiLevelType w:val="multilevel"/>
    <w:tmpl w:val="338A7C9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CFE2667"/>
    <w:multiLevelType w:val="multilevel"/>
    <w:tmpl w:val="3CFE2667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48F52926"/>
    <w:multiLevelType w:val="multilevel"/>
    <w:tmpl w:val="48F52926"/>
    <w:lvl w:ilvl="0" w:tentative="0">
      <w:start w:val="1"/>
      <w:numFmt w:val="bullet"/>
      <w:lvlText w:val="-"/>
      <w:lvlJc w:val="left"/>
      <w:pPr>
        <w:ind w:left="420" w:hanging="420"/>
      </w:pPr>
      <w:rPr>
        <w:rFonts w:hint="default" w:ascii="Sitka Subheading" w:hAnsi="Sitka Subheading"/>
        <w:b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5743DE6D"/>
    <w:multiLevelType w:val="singleLevel"/>
    <w:tmpl w:val="5743DE6D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  <w:color w:val="4472C4" w:themeColor="accent5"/>
        <w14:textFill>
          <w14:solidFill>
            <w14:schemeClr w14:val="accent5"/>
          </w14:solidFill>
        </w14:textFill>
      </w:rPr>
    </w:lvl>
  </w:abstractNum>
  <w:abstractNum w:abstractNumId="11">
    <w:nsid w:val="620A5CF9"/>
    <w:multiLevelType w:val="multilevel"/>
    <w:tmpl w:val="620A5CF9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0070C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636A178A"/>
    <w:multiLevelType w:val="multilevel"/>
    <w:tmpl w:val="636A178A"/>
    <w:lvl w:ilvl="0" w:tentative="0">
      <w:start w:val="1"/>
      <w:numFmt w:val="bullet"/>
      <w:lvlText w:val="-"/>
      <w:lvlJc w:val="left"/>
      <w:pPr>
        <w:ind w:left="420" w:hanging="420"/>
      </w:pPr>
      <w:rPr>
        <w:rFonts w:hint="default" w:ascii="Sitka Subheading" w:hAnsi="Sitka Subheading"/>
        <w:b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78E07A98"/>
    <w:multiLevelType w:val="multilevel"/>
    <w:tmpl w:val="78E07A98"/>
    <w:lvl w:ilvl="0" w:tentative="0">
      <w:start w:val="1"/>
      <w:numFmt w:val="bullet"/>
      <w:lvlText w:val="-"/>
      <w:lvlJc w:val="left"/>
      <w:pPr>
        <w:ind w:left="420" w:hanging="420"/>
      </w:pPr>
      <w:rPr>
        <w:rFonts w:hint="default" w:ascii="Sitka Subheading" w:hAnsi="Sitka Subheading"/>
        <w:color w:val="0070C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3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7"/>
  </w:num>
  <w:num w:numId="12">
    <w:abstractNumId w:val="2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44D"/>
    <w:rsid w:val="00001FF7"/>
    <w:rsid w:val="00005349"/>
    <w:rsid w:val="000110AE"/>
    <w:rsid w:val="00020669"/>
    <w:rsid w:val="00027DF7"/>
    <w:rsid w:val="000459C4"/>
    <w:rsid w:val="0005308D"/>
    <w:rsid w:val="000540CE"/>
    <w:rsid w:val="00055268"/>
    <w:rsid w:val="00073432"/>
    <w:rsid w:val="00074940"/>
    <w:rsid w:val="00080042"/>
    <w:rsid w:val="00085DB8"/>
    <w:rsid w:val="000A18DE"/>
    <w:rsid w:val="000A1FD4"/>
    <w:rsid w:val="000A34C9"/>
    <w:rsid w:val="000A5807"/>
    <w:rsid w:val="000A6D22"/>
    <w:rsid w:val="000C0A4B"/>
    <w:rsid w:val="000C2FD7"/>
    <w:rsid w:val="000C3983"/>
    <w:rsid w:val="000C49C2"/>
    <w:rsid w:val="000C7855"/>
    <w:rsid w:val="000D08A2"/>
    <w:rsid w:val="000E03F6"/>
    <w:rsid w:val="000E0C7B"/>
    <w:rsid w:val="000F079F"/>
    <w:rsid w:val="001021E5"/>
    <w:rsid w:val="00107F76"/>
    <w:rsid w:val="00112664"/>
    <w:rsid w:val="001164DD"/>
    <w:rsid w:val="00117DF3"/>
    <w:rsid w:val="001231C0"/>
    <w:rsid w:val="0012393A"/>
    <w:rsid w:val="001355C1"/>
    <w:rsid w:val="00167805"/>
    <w:rsid w:val="00184004"/>
    <w:rsid w:val="00191DC5"/>
    <w:rsid w:val="00193DED"/>
    <w:rsid w:val="00194D46"/>
    <w:rsid w:val="00194F81"/>
    <w:rsid w:val="001A0760"/>
    <w:rsid w:val="001A534E"/>
    <w:rsid w:val="001C5AA7"/>
    <w:rsid w:val="001C6566"/>
    <w:rsid w:val="001E17CA"/>
    <w:rsid w:val="001E331B"/>
    <w:rsid w:val="001E7C9B"/>
    <w:rsid w:val="001F1AA6"/>
    <w:rsid w:val="00213341"/>
    <w:rsid w:val="00213E43"/>
    <w:rsid w:val="0021502B"/>
    <w:rsid w:val="002240A3"/>
    <w:rsid w:val="00236046"/>
    <w:rsid w:val="002378D5"/>
    <w:rsid w:val="00242933"/>
    <w:rsid w:val="00246D6F"/>
    <w:rsid w:val="002618EE"/>
    <w:rsid w:val="0027541B"/>
    <w:rsid w:val="00282ADB"/>
    <w:rsid w:val="002933BA"/>
    <w:rsid w:val="002945AB"/>
    <w:rsid w:val="002D173F"/>
    <w:rsid w:val="002E0ED6"/>
    <w:rsid w:val="00305EC0"/>
    <w:rsid w:val="00313A78"/>
    <w:rsid w:val="003232ED"/>
    <w:rsid w:val="00326954"/>
    <w:rsid w:val="003834D3"/>
    <w:rsid w:val="003A076F"/>
    <w:rsid w:val="003A4AF3"/>
    <w:rsid w:val="003A6A09"/>
    <w:rsid w:val="003A6EFF"/>
    <w:rsid w:val="003D049E"/>
    <w:rsid w:val="003D6477"/>
    <w:rsid w:val="003E34B3"/>
    <w:rsid w:val="003E4CD3"/>
    <w:rsid w:val="003E5FD1"/>
    <w:rsid w:val="003F654C"/>
    <w:rsid w:val="00400844"/>
    <w:rsid w:val="00415FB1"/>
    <w:rsid w:val="0042181F"/>
    <w:rsid w:val="004334A0"/>
    <w:rsid w:val="00433695"/>
    <w:rsid w:val="00433E0C"/>
    <w:rsid w:val="0043450C"/>
    <w:rsid w:val="0043524F"/>
    <w:rsid w:val="004440A2"/>
    <w:rsid w:val="0045013D"/>
    <w:rsid w:val="00456EF1"/>
    <w:rsid w:val="0047134C"/>
    <w:rsid w:val="0047405A"/>
    <w:rsid w:val="00485CCC"/>
    <w:rsid w:val="00485F33"/>
    <w:rsid w:val="0049069B"/>
    <w:rsid w:val="004A4B74"/>
    <w:rsid w:val="004B5BAB"/>
    <w:rsid w:val="00506E1A"/>
    <w:rsid w:val="00513CC3"/>
    <w:rsid w:val="00523642"/>
    <w:rsid w:val="005308C9"/>
    <w:rsid w:val="00533C64"/>
    <w:rsid w:val="00533C6C"/>
    <w:rsid w:val="00534831"/>
    <w:rsid w:val="005437A7"/>
    <w:rsid w:val="00562D12"/>
    <w:rsid w:val="00565A67"/>
    <w:rsid w:val="005677E7"/>
    <w:rsid w:val="00580669"/>
    <w:rsid w:val="00593893"/>
    <w:rsid w:val="005B1C23"/>
    <w:rsid w:val="005B619A"/>
    <w:rsid w:val="005B6F8B"/>
    <w:rsid w:val="005C772D"/>
    <w:rsid w:val="005E2D34"/>
    <w:rsid w:val="005E6408"/>
    <w:rsid w:val="005F5EBC"/>
    <w:rsid w:val="00602496"/>
    <w:rsid w:val="006169AF"/>
    <w:rsid w:val="00627DDA"/>
    <w:rsid w:val="006356CE"/>
    <w:rsid w:val="00637672"/>
    <w:rsid w:val="0064032D"/>
    <w:rsid w:val="00650C54"/>
    <w:rsid w:val="00663B24"/>
    <w:rsid w:val="00665E9F"/>
    <w:rsid w:val="00667859"/>
    <w:rsid w:val="00671A17"/>
    <w:rsid w:val="00681453"/>
    <w:rsid w:val="006834A5"/>
    <w:rsid w:val="00687072"/>
    <w:rsid w:val="00690085"/>
    <w:rsid w:val="006A0032"/>
    <w:rsid w:val="006A2FB0"/>
    <w:rsid w:val="006A6C50"/>
    <w:rsid w:val="006B0EEC"/>
    <w:rsid w:val="006C298D"/>
    <w:rsid w:val="006D27D5"/>
    <w:rsid w:val="006D50A9"/>
    <w:rsid w:val="006E304C"/>
    <w:rsid w:val="0070074A"/>
    <w:rsid w:val="007034FB"/>
    <w:rsid w:val="00710ADD"/>
    <w:rsid w:val="00724D0C"/>
    <w:rsid w:val="00725C99"/>
    <w:rsid w:val="00735A89"/>
    <w:rsid w:val="00736FF9"/>
    <w:rsid w:val="00747528"/>
    <w:rsid w:val="007551C9"/>
    <w:rsid w:val="00755E59"/>
    <w:rsid w:val="00756190"/>
    <w:rsid w:val="00756C50"/>
    <w:rsid w:val="00760270"/>
    <w:rsid w:val="0076314B"/>
    <w:rsid w:val="00771E72"/>
    <w:rsid w:val="00775046"/>
    <w:rsid w:val="007834A2"/>
    <w:rsid w:val="00786A5D"/>
    <w:rsid w:val="00786DF8"/>
    <w:rsid w:val="00797F3F"/>
    <w:rsid w:val="007A4563"/>
    <w:rsid w:val="007B330A"/>
    <w:rsid w:val="007B4F2D"/>
    <w:rsid w:val="007C0591"/>
    <w:rsid w:val="007D25B3"/>
    <w:rsid w:val="007E372F"/>
    <w:rsid w:val="007E600B"/>
    <w:rsid w:val="00803592"/>
    <w:rsid w:val="0080599F"/>
    <w:rsid w:val="00826395"/>
    <w:rsid w:val="008339E0"/>
    <w:rsid w:val="008435A1"/>
    <w:rsid w:val="008516AD"/>
    <w:rsid w:val="0085761C"/>
    <w:rsid w:val="00861FDF"/>
    <w:rsid w:val="00862D62"/>
    <w:rsid w:val="008674A4"/>
    <w:rsid w:val="008734B8"/>
    <w:rsid w:val="0087521B"/>
    <w:rsid w:val="008924FF"/>
    <w:rsid w:val="00892B17"/>
    <w:rsid w:val="0089763A"/>
    <w:rsid w:val="008A2BF3"/>
    <w:rsid w:val="008B4943"/>
    <w:rsid w:val="008B57C2"/>
    <w:rsid w:val="008C2712"/>
    <w:rsid w:val="008D0594"/>
    <w:rsid w:val="008D58A6"/>
    <w:rsid w:val="008E2854"/>
    <w:rsid w:val="008E2B97"/>
    <w:rsid w:val="008F6C64"/>
    <w:rsid w:val="009149E5"/>
    <w:rsid w:val="00914EF0"/>
    <w:rsid w:val="00926205"/>
    <w:rsid w:val="00930AC8"/>
    <w:rsid w:val="00933FC0"/>
    <w:rsid w:val="00950006"/>
    <w:rsid w:val="00955F18"/>
    <w:rsid w:val="00970EF6"/>
    <w:rsid w:val="009A4320"/>
    <w:rsid w:val="009C2062"/>
    <w:rsid w:val="009D265C"/>
    <w:rsid w:val="009E2533"/>
    <w:rsid w:val="009E3A9E"/>
    <w:rsid w:val="009E56EE"/>
    <w:rsid w:val="009F1DFA"/>
    <w:rsid w:val="009F37EF"/>
    <w:rsid w:val="009F39B0"/>
    <w:rsid w:val="009F43BF"/>
    <w:rsid w:val="009F6D5B"/>
    <w:rsid w:val="00A11C0A"/>
    <w:rsid w:val="00A1621F"/>
    <w:rsid w:val="00A1772E"/>
    <w:rsid w:val="00A2108D"/>
    <w:rsid w:val="00A30EBD"/>
    <w:rsid w:val="00A3222D"/>
    <w:rsid w:val="00A356D4"/>
    <w:rsid w:val="00A41FB4"/>
    <w:rsid w:val="00A51176"/>
    <w:rsid w:val="00A538E0"/>
    <w:rsid w:val="00A63A59"/>
    <w:rsid w:val="00A67B59"/>
    <w:rsid w:val="00A94F69"/>
    <w:rsid w:val="00A96B00"/>
    <w:rsid w:val="00AA2B50"/>
    <w:rsid w:val="00AB24BC"/>
    <w:rsid w:val="00AC1465"/>
    <w:rsid w:val="00AC5B00"/>
    <w:rsid w:val="00AC7840"/>
    <w:rsid w:val="00AD0A55"/>
    <w:rsid w:val="00AD592E"/>
    <w:rsid w:val="00AE1AFE"/>
    <w:rsid w:val="00AF3FF2"/>
    <w:rsid w:val="00B02691"/>
    <w:rsid w:val="00B07CC2"/>
    <w:rsid w:val="00B12135"/>
    <w:rsid w:val="00B12656"/>
    <w:rsid w:val="00B1385B"/>
    <w:rsid w:val="00B26741"/>
    <w:rsid w:val="00B30274"/>
    <w:rsid w:val="00B446AA"/>
    <w:rsid w:val="00B521C1"/>
    <w:rsid w:val="00B579C3"/>
    <w:rsid w:val="00B7244D"/>
    <w:rsid w:val="00B856A8"/>
    <w:rsid w:val="00B91E56"/>
    <w:rsid w:val="00B93784"/>
    <w:rsid w:val="00BA488A"/>
    <w:rsid w:val="00BA7A65"/>
    <w:rsid w:val="00BB6E18"/>
    <w:rsid w:val="00BC0305"/>
    <w:rsid w:val="00BC7394"/>
    <w:rsid w:val="00BE5162"/>
    <w:rsid w:val="00BF03A5"/>
    <w:rsid w:val="00BF0DCD"/>
    <w:rsid w:val="00BF19C5"/>
    <w:rsid w:val="00BF7AC5"/>
    <w:rsid w:val="00C03F1F"/>
    <w:rsid w:val="00C15DEE"/>
    <w:rsid w:val="00C17753"/>
    <w:rsid w:val="00C2726D"/>
    <w:rsid w:val="00C3342A"/>
    <w:rsid w:val="00C34366"/>
    <w:rsid w:val="00C36187"/>
    <w:rsid w:val="00C371BA"/>
    <w:rsid w:val="00C6735F"/>
    <w:rsid w:val="00C76C2E"/>
    <w:rsid w:val="00C911D4"/>
    <w:rsid w:val="00C92D78"/>
    <w:rsid w:val="00CD3A79"/>
    <w:rsid w:val="00CD5DD2"/>
    <w:rsid w:val="00CF2430"/>
    <w:rsid w:val="00CF3DA5"/>
    <w:rsid w:val="00D20AE9"/>
    <w:rsid w:val="00D242A9"/>
    <w:rsid w:val="00D427CA"/>
    <w:rsid w:val="00D47F5B"/>
    <w:rsid w:val="00D51DAB"/>
    <w:rsid w:val="00D53944"/>
    <w:rsid w:val="00D65EA9"/>
    <w:rsid w:val="00D84308"/>
    <w:rsid w:val="00D86CF1"/>
    <w:rsid w:val="00D9652B"/>
    <w:rsid w:val="00D96FBA"/>
    <w:rsid w:val="00DA5EC9"/>
    <w:rsid w:val="00DA7C21"/>
    <w:rsid w:val="00DB04B1"/>
    <w:rsid w:val="00DB5386"/>
    <w:rsid w:val="00DB7FA8"/>
    <w:rsid w:val="00DC7AAD"/>
    <w:rsid w:val="00DF3F6C"/>
    <w:rsid w:val="00E133C7"/>
    <w:rsid w:val="00E25199"/>
    <w:rsid w:val="00E26C07"/>
    <w:rsid w:val="00E30B9D"/>
    <w:rsid w:val="00E32CD9"/>
    <w:rsid w:val="00E367A3"/>
    <w:rsid w:val="00E44A30"/>
    <w:rsid w:val="00E56435"/>
    <w:rsid w:val="00E61950"/>
    <w:rsid w:val="00E628D2"/>
    <w:rsid w:val="00E6795D"/>
    <w:rsid w:val="00E80851"/>
    <w:rsid w:val="00EA0069"/>
    <w:rsid w:val="00EA46E4"/>
    <w:rsid w:val="00EA7FB5"/>
    <w:rsid w:val="00EC3701"/>
    <w:rsid w:val="00EC5D45"/>
    <w:rsid w:val="00ED40A0"/>
    <w:rsid w:val="00EE64B3"/>
    <w:rsid w:val="00EF047F"/>
    <w:rsid w:val="00EF4350"/>
    <w:rsid w:val="00EF5A16"/>
    <w:rsid w:val="00F01819"/>
    <w:rsid w:val="00F15E9D"/>
    <w:rsid w:val="00F20A7B"/>
    <w:rsid w:val="00F34F2B"/>
    <w:rsid w:val="00F4190B"/>
    <w:rsid w:val="00F444B0"/>
    <w:rsid w:val="00F5241D"/>
    <w:rsid w:val="00F5363A"/>
    <w:rsid w:val="00F707E5"/>
    <w:rsid w:val="00F77A45"/>
    <w:rsid w:val="00F8179E"/>
    <w:rsid w:val="00F93C62"/>
    <w:rsid w:val="00FA068B"/>
    <w:rsid w:val="00FA4CF7"/>
    <w:rsid w:val="00FA51A3"/>
    <w:rsid w:val="00FB0F97"/>
    <w:rsid w:val="00FC1B47"/>
    <w:rsid w:val="00FC61BE"/>
    <w:rsid w:val="00FD1F84"/>
    <w:rsid w:val="00FE1121"/>
    <w:rsid w:val="00FE5140"/>
    <w:rsid w:val="00FE526B"/>
    <w:rsid w:val="00FF1B87"/>
    <w:rsid w:val="00FF1D98"/>
    <w:rsid w:val="018D00F4"/>
    <w:rsid w:val="0249336F"/>
    <w:rsid w:val="02EA295A"/>
    <w:rsid w:val="05D76DC3"/>
    <w:rsid w:val="07BA3CE2"/>
    <w:rsid w:val="08A5163E"/>
    <w:rsid w:val="0DAB77A6"/>
    <w:rsid w:val="120329B5"/>
    <w:rsid w:val="141F0004"/>
    <w:rsid w:val="14B37A44"/>
    <w:rsid w:val="17FD4AB6"/>
    <w:rsid w:val="20611203"/>
    <w:rsid w:val="211F5208"/>
    <w:rsid w:val="23BF6A0F"/>
    <w:rsid w:val="25512D88"/>
    <w:rsid w:val="25B269CF"/>
    <w:rsid w:val="273263DA"/>
    <w:rsid w:val="2EF44927"/>
    <w:rsid w:val="31ED3091"/>
    <w:rsid w:val="362D1FA8"/>
    <w:rsid w:val="3C280FF9"/>
    <w:rsid w:val="3CB74778"/>
    <w:rsid w:val="3E711FAE"/>
    <w:rsid w:val="41803B74"/>
    <w:rsid w:val="43BB13E5"/>
    <w:rsid w:val="4E385820"/>
    <w:rsid w:val="507F3358"/>
    <w:rsid w:val="53B9660D"/>
    <w:rsid w:val="543718B8"/>
    <w:rsid w:val="5CF43531"/>
    <w:rsid w:val="6054196B"/>
    <w:rsid w:val="61D34195"/>
    <w:rsid w:val="679A6CEF"/>
    <w:rsid w:val="6C081C3F"/>
    <w:rsid w:val="6D727E01"/>
    <w:rsid w:val="6EF672E7"/>
    <w:rsid w:val="707A7584"/>
    <w:rsid w:val="743C0BCF"/>
    <w:rsid w:val="797645B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21"/>
    <w:unhideWhenUsed/>
    <w:qFormat/>
    <w:uiPriority w:val="0"/>
    <w:rPr>
      <w:b/>
      <w:bCs/>
    </w:rPr>
  </w:style>
  <w:style w:type="paragraph" w:styleId="3">
    <w:name w:val="annotation text"/>
    <w:basedOn w:val="1"/>
    <w:link w:val="20"/>
    <w:unhideWhenUsed/>
    <w:qFormat/>
    <w:uiPriority w:val="0"/>
    <w:pPr>
      <w:jc w:val="left"/>
    </w:pPr>
  </w:style>
  <w:style w:type="paragraph" w:styleId="4">
    <w:name w:val="Balloon Text"/>
    <w:basedOn w:val="1"/>
    <w:link w:val="19"/>
    <w:qFormat/>
    <w:uiPriority w:val="0"/>
    <w:rPr>
      <w:sz w:val="18"/>
      <w:szCs w:val="18"/>
    </w:rPr>
  </w:style>
  <w:style w:type="paragraph" w:styleId="5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styleId="9">
    <w:name w:val="annotation reference"/>
    <w:basedOn w:val="7"/>
    <w:unhideWhenUsed/>
    <w:qFormat/>
    <w:uiPriority w:val="0"/>
    <w:rPr>
      <w:sz w:val="21"/>
      <w:szCs w:val="21"/>
    </w:rPr>
  </w:style>
  <w:style w:type="table" w:styleId="11">
    <w:name w:val="Table Grid"/>
    <w:basedOn w:val="10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12">
    <w:name w:val="Light Shading Accent 1"/>
    <w:basedOn w:val="10"/>
    <w:qFormat/>
    <w:uiPriority w:val="60"/>
    <w:rPr>
      <w:color w:val="2E75B6" w:themeColor="accent1" w:themeShade="BF"/>
    </w:rPr>
    <w:tblPr>
      <w:tblBorders>
        <w:top w:val="single" w:color="5B9BD5" w:themeColor="accent1" w:sz="8" w:space="0"/>
        <w:bottom w:val="single" w:color="5B9BD5" w:themeColor="accent1" w:sz="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13">
    <w:name w:val="Medium List 2 Accent 1"/>
    <w:basedOn w:val="10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</w:tblBorders>
      <w:tblLayout w:type="fixed"/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5B9BD5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5B9BD5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5B9BD5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5B9BD5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customStyle="1" w:styleId="14">
    <w:name w:val="网格表 5 深色 - 着色 51"/>
    <w:basedOn w:val="10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band1Vert">
      <w:tblPr>
        <w:tblLayout w:type="fixed"/>
      </w:tblPr>
      <w:tcPr>
        <w:shd w:val="clear" w:color="auto" w:fill="B4C6E7" w:themeFill="accent5" w:themeFillTint="66"/>
      </w:tcPr>
    </w:tblStylePr>
    <w:tblStylePr w:type="band1Horz">
      <w:tblPr>
        <w:tblLayout w:type="fixed"/>
      </w:tblPr>
      <w:tcPr>
        <w:shd w:val="clear" w:color="auto" w:fill="B4C6E7" w:themeFill="accent5" w:themeFillTint="66"/>
      </w:tcPr>
    </w:tblStylePr>
  </w:style>
  <w:style w:type="table" w:customStyle="1" w:styleId="15">
    <w:name w:val="网格表 5 深色 - 着色 52"/>
    <w:basedOn w:val="10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band1Vert">
      <w:tblPr>
        <w:tblLayout w:type="fixed"/>
      </w:tblPr>
      <w:tcPr>
        <w:shd w:val="clear" w:color="auto" w:fill="B4C6E7" w:themeFill="accent5" w:themeFillTint="66"/>
      </w:tcPr>
    </w:tblStylePr>
    <w:tblStylePr w:type="band1Horz">
      <w:tblPr>
        <w:tblLayout w:type="fixed"/>
      </w:tblPr>
      <w:tcPr>
        <w:shd w:val="clear" w:color="auto" w:fill="B4C6E7" w:themeFill="accent5" w:themeFillTint="66"/>
      </w:tcPr>
    </w:tblStylePr>
  </w:style>
  <w:style w:type="character" w:customStyle="1" w:styleId="16">
    <w:name w:val="页眉 字符"/>
    <w:basedOn w:val="7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7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8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19">
    <w:name w:val="批注框文本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批注文字 字符"/>
    <w:basedOn w:val="7"/>
    <w:link w:val="3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1">
    <w:name w:val="批注主题 字符"/>
    <w:basedOn w:val="20"/>
    <w:link w:val="2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22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table" w:customStyle="1" w:styleId="23">
    <w:name w:val="网格表 5 深色 - 着色 53"/>
    <w:basedOn w:val="10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band1Vert">
      <w:tblPr>
        <w:tblLayout w:type="fixed"/>
      </w:tblPr>
      <w:tcPr>
        <w:shd w:val="clear" w:color="auto" w:fill="B4C6E7" w:themeFill="accent5" w:themeFillTint="66"/>
      </w:tcPr>
    </w:tblStylePr>
    <w:tblStylePr w:type="band1Horz">
      <w:tblPr>
        <w:tblLayout w:type="fixed"/>
      </w:tblPr>
      <w:tcPr>
        <w:shd w:val="clear" w:color="auto" w:fill="B4C6E7" w:themeFill="accent5" w:themeFillTint="66"/>
      </w:tcPr>
    </w:tblStylePr>
  </w:style>
  <w:style w:type="paragraph" w:customStyle="1" w:styleId="24">
    <w:name w:val="列出段落2"/>
    <w:basedOn w:val="1"/>
    <w:qFormat/>
    <w:uiPriority w:val="99"/>
    <w:pPr>
      <w:ind w:firstLine="420" w:firstLineChars="200"/>
    </w:pPr>
  </w:style>
  <w:style w:type="paragraph" w:customStyle="1" w:styleId="25">
    <w:name w:val="列出段落3"/>
    <w:basedOn w:val="1"/>
    <w:qFormat/>
    <w:uiPriority w:val="99"/>
    <w:pPr>
      <w:ind w:firstLine="420" w:firstLineChars="200"/>
    </w:pPr>
  </w:style>
  <w:style w:type="character" w:customStyle="1" w:styleId="26">
    <w:name w:val="apple-converted-space"/>
    <w:basedOn w:val="7"/>
    <w:uiPriority w:val="0"/>
  </w:style>
  <w:style w:type="paragraph" w:customStyle="1" w:styleId="27">
    <w:name w:val="列出段落4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62B696-E68A-4163-8898-AA59E51363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697</Words>
  <Characters>3978</Characters>
  <Lines>33</Lines>
  <Paragraphs>9</Paragraphs>
  <TotalTime>0</TotalTime>
  <ScaleCrop>false</ScaleCrop>
  <LinksUpToDate>false</LinksUpToDate>
  <CharactersWithSpaces>4666</CharactersWithSpaces>
  <Application>WPS Office_10.1.0.5843_F1E327BC-269C-435d-A152-05C5408002CA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2016-07-01T09:35:00Z</dcterms:created>
  <dc:creator>WQY</dc:creator>
  <cp:lastModifiedBy>老大</cp:lastModifiedBy>
  <cp:lastPrinted>2016-06-16T03:33:00Z</cp:lastPrinted>
  <dcterms:modified xsi:type="dcterms:W3CDTF">2016-07-06T08:32:59Z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2052-10.1.0.5843</vt:lpwstr>
  </property>
</Properties>
</file>